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3C" w:rsidRDefault="009253E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Запитання-відповіді </w:t>
      </w:r>
    </w:p>
    <w:p w:rsidR="00414E3C" w:rsidRDefault="009253E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 питань державного ринкового нагляду</w:t>
      </w:r>
    </w:p>
    <w:p w:rsidR="00414E3C" w:rsidRDefault="00414E3C">
      <w:pPr>
        <w:jc w:val="center"/>
        <w:rPr>
          <w:rFonts w:ascii="Times New Roman" w:hAnsi="Times New Roman"/>
          <w:b/>
          <w:sz w:val="36"/>
          <w:szCs w:val="36"/>
        </w:rPr>
      </w:pPr>
    </w:p>
    <w:p w:rsidR="00414E3C" w:rsidRDefault="009253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Що таке державний ринковий нагляд та яка мета його здійснення?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ст. 1 Закону України «Про державний ринковий нагляд і контроль нехарчової продукції» </w:t>
      </w:r>
      <w:r>
        <w:rPr>
          <w:rFonts w:ascii="Times New Roman" w:hAnsi="Times New Roman"/>
          <w:sz w:val="28"/>
          <w:szCs w:val="28"/>
          <w:u w:val="single"/>
        </w:rPr>
        <w:t>державний ринковий нагляд</w:t>
      </w:r>
      <w:r>
        <w:rPr>
          <w:rFonts w:ascii="Times New Roman" w:hAnsi="Times New Roman"/>
          <w:sz w:val="28"/>
          <w:szCs w:val="28"/>
        </w:rPr>
        <w:t xml:space="preserve"> – це діяльність органів державного ринкового нагляду з метою забезпечення відповідності продукції встановленим вимогам (вимогам щодо нехарчової продукції та її обігу на ринку України, встановленим технічними регламентами), а також забезпечення відсутності</w:t>
      </w:r>
      <w:r>
        <w:rPr>
          <w:rFonts w:ascii="Times New Roman" w:hAnsi="Times New Roman"/>
          <w:sz w:val="28"/>
          <w:szCs w:val="28"/>
        </w:rPr>
        <w:t xml:space="preserve"> загроз суспільним інтересам.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ст. 4 цього Закону метою здійснення державного ринкового нагляду є вжиття обмежувальних (корегувальних) заходів з відповідним інформуванням про це громадськості щодо продукції, яка при її використанні за призначе</w:t>
      </w:r>
      <w:r>
        <w:rPr>
          <w:rFonts w:ascii="Times New Roman" w:hAnsi="Times New Roman"/>
          <w:sz w:val="28"/>
          <w:szCs w:val="28"/>
        </w:rPr>
        <w:t>нням або за обґрунтовано передбачуваних умов і при належному встановленні та технічному обслуговуванні становить загрозу суспільним інтересам чи яка в інший спосіб не відповідає встановленим вимогам.</w:t>
      </w:r>
    </w:p>
    <w:p w:rsidR="009253E1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53E1" w:rsidRDefault="009253E1" w:rsidP="009253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. Що таке державний контроль продукції?</w:t>
      </w:r>
    </w:p>
    <w:p w:rsidR="009253E1" w:rsidRPr="009253E1" w:rsidRDefault="009253E1" w:rsidP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53E1">
        <w:rPr>
          <w:rFonts w:ascii="Times New Roman" w:hAnsi="Times New Roman"/>
          <w:sz w:val="28"/>
          <w:szCs w:val="28"/>
        </w:rPr>
        <w:t xml:space="preserve">Відповідно до ст. 1 Закону України «Про державний ринковий нагляд і контроль нехарчової продукції» </w:t>
      </w:r>
      <w:r w:rsidRPr="009253E1">
        <w:rPr>
          <w:rFonts w:ascii="Times New Roman" w:hAnsi="Times New Roman"/>
          <w:sz w:val="28"/>
          <w:szCs w:val="28"/>
          <w:u w:val="single"/>
        </w:rPr>
        <w:t xml:space="preserve">державний контроль продукції </w:t>
      </w:r>
      <w:r w:rsidRPr="009253E1">
        <w:rPr>
          <w:rFonts w:ascii="Times New Roman" w:hAnsi="Times New Roman"/>
          <w:sz w:val="28"/>
          <w:szCs w:val="28"/>
        </w:rPr>
        <w:t>– це діяльність митних органів із забезпечення відповідності продукції, що ввозиться на митну територію України для вільного обігу, встановленим вимогам, а також забезпечення відсутності загроз від такої продукції суспільним інтересам.</w:t>
      </w:r>
    </w:p>
    <w:p w:rsidR="00414E3C" w:rsidRDefault="00414E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E3C" w:rsidRDefault="009253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Щодо якого виду продукції ДІАМ здійснює державний ри</w:t>
      </w:r>
      <w:r>
        <w:rPr>
          <w:rFonts w:ascii="Times New Roman" w:hAnsi="Times New Roman"/>
          <w:b/>
          <w:sz w:val="28"/>
          <w:szCs w:val="28"/>
        </w:rPr>
        <w:t>нковий нагляд?</w:t>
      </w:r>
    </w:p>
    <w:p w:rsidR="00414E3C" w:rsidRDefault="009253E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п. 17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Переліку видів продукції, щодо яких органи державного ринкового нагляду здійснюють державний ринковий нагляд, затвердженого постановою Кабінету Міністрів України від 28.12.2016 № 1069, ДІАМ здійснює державний ринковий на</w:t>
      </w:r>
      <w:r>
        <w:rPr>
          <w:rFonts w:ascii="Times New Roman" w:hAnsi="Times New Roman"/>
          <w:sz w:val="28"/>
          <w:szCs w:val="28"/>
        </w:rPr>
        <w:t xml:space="preserve">гляд </w:t>
      </w:r>
      <w:r>
        <w:rPr>
          <w:rFonts w:ascii="Times New Roman" w:hAnsi="Times New Roman"/>
          <w:sz w:val="28"/>
          <w:szCs w:val="28"/>
          <w:u w:val="single"/>
        </w:rPr>
        <w:t>щодо будівельних виробів (продукції)</w:t>
      </w:r>
      <w:r>
        <w:rPr>
          <w:rFonts w:ascii="Times New Roman" w:hAnsi="Times New Roman"/>
          <w:sz w:val="28"/>
          <w:szCs w:val="28"/>
        </w:rPr>
        <w:t>.</w:t>
      </w:r>
    </w:p>
    <w:p w:rsidR="00414E3C" w:rsidRDefault="00414E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E3C" w:rsidRDefault="009253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 Якими технічними регламентами встановлено вимоги щодо будівельних виробів (продукції) та їх обігу на ринку України?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будівельні вироби (продукцію) поширюється дія Технічного регламенту будівельних виробів (п</w:t>
      </w:r>
      <w:r>
        <w:rPr>
          <w:rFonts w:ascii="Times New Roman" w:hAnsi="Times New Roman"/>
          <w:sz w:val="28"/>
          <w:szCs w:val="28"/>
        </w:rPr>
        <w:t>родукції), затвердженого постановою Кабінету Міністрів України від 20.12.2006 № 1764, який встановлює вимоги до будівельних виробів (продукції) та їх обігу на території України.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Також з 01 січня 2023 р. набирає чинності Закон України «Про надання будівельн</w:t>
      </w:r>
      <w:r>
        <w:rPr>
          <w:rFonts w:ascii="Times New Roman" w:hAnsi="Times New Roman"/>
          <w:sz w:val="28"/>
          <w:szCs w:val="28"/>
        </w:rPr>
        <w:t>ої продукції на ринку», який є технічним регламентом і визначає правові та організаційні засади введення в обіг або надання будівельної продукції на ринку шляхом встановлення правил для вираження показників, пов’язаних із суттєвими експлуатаційними характе</w:t>
      </w:r>
      <w:r>
        <w:rPr>
          <w:rFonts w:ascii="Times New Roman" w:hAnsi="Times New Roman"/>
          <w:sz w:val="28"/>
          <w:szCs w:val="28"/>
        </w:rPr>
        <w:t xml:space="preserve">ристиками такої продукції, а також застосування щодо такої продукції </w:t>
      </w:r>
      <w:proofErr w:type="spellStart"/>
      <w:r>
        <w:rPr>
          <w:rFonts w:ascii="Times New Roman" w:hAnsi="Times New Roman"/>
          <w:sz w:val="28"/>
          <w:szCs w:val="28"/>
        </w:rPr>
        <w:t>знака</w:t>
      </w:r>
      <w:proofErr w:type="spellEnd"/>
      <w:r>
        <w:rPr>
          <w:rFonts w:ascii="Times New Roman" w:hAnsi="Times New Roman"/>
          <w:sz w:val="28"/>
          <w:szCs w:val="28"/>
        </w:rPr>
        <w:t xml:space="preserve"> відповідності технічним регламентам.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розділу </w:t>
      </w:r>
      <w:r>
        <w:rPr>
          <w:rFonts w:ascii="Times New Roman" w:hAnsi="Times New Roman"/>
          <w:sz w:val="28"/>
          <w:szCs w:val="28"/>
          <w:lang w:val="en-US"/>
        </w:rPr>
        <w:t xml:space="preserve">VIII </w:t>
      </w:r>
      <w:r>
        <w:rPr>
          <w:rFonts w:ascii="Times New Roman" w:hAnsi="Times New Roman"/>
          <w:sz w:val="28"/>
          <w:szCs w:val="28"/>
        </w:rPr>
        <w:t>Прикінцеві та перехідні положення цього Закону установлено на період до 2025 року: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одночасну дію вимог цього Закону т</w:t>
      </w:r>
      <w:r>
        <w:rPr>
          <w:rFonts w:ascii="Times New Roman" w:hAnsi="Times New Roman"/>
          <w:sz w:val="28"/>
          <w:szCs w:val="28"/>
        </w:rPr>
        <w:t>а вимог технічного регламенту будівельних виробів (продукції), затвердженого Кабінетом Міністрів України;</w:t>
      </w:r>
    </w:p>
    <w:p w:rsidR="00414E3C" w:rsidRDefault="009253E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неможливість заборони або обмеження надання на ринку та/або введення в експлуатацію будівельної продукції, що відповідає вимогам технічного регламе</w:t>
      </w:r>
      <w:r>
        <w:rPr>
          <w:rFonts w:ascii="Times New Roman" w:hAnsi="Times New Roman"/>
          <w:sz w:val="28"/>
          <w:szCs w:val="28"/>
        </w:rPr>
        <w:t>нту будівельних виробів (продукції), затвердженого Кабінетом Міністрів України, та введена в обіг до набрання чинності цим Законом, з причин невідповідності такої продукції вимогам цього Закону.</w:t>
      </w:r>
    </w:p>
    <w:p w:rsidR="00414E3C" w:rsidRDefault="00414E3C">
      <w:pPr>
        <w:jc w:val="both"/>
        <w:rPr>
          <w:rFonts w:ascii="Times New Roman" w:hAnsi="Times New Roman"/>
          <w:sz w:val="28"/>
          <w:szCs w:val="28"/>
        </w:rPr>
      </w:pPr>
    </w:p>
    <w:p w:rsidR="00414E3C" w:rsidRDefault="009253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Що в себе включає державний ринковий нагляд?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</w:t>
      </w:r>
      <w:r>
        <w:rPr>
          <w:rFonts w:ascii="Times New Roman" w:hAnsi="Times New Roman"/>
          <w:sz w:val="28"/>
          <w:szCs w:val="28"/>
        </w:rPr>
        <w:t xml:space="preserve">о ст. 22 Закону України «Про державний ринковий нагляд і контроль нехарчової продукції» </w:t>
      </w:r>
      <w:r>
        <w:rPr>
          <w:rFonts w:ascii="Times New Roman" w:hAnsi="Times New Roman"/>
          <w:sz w:val="28"/>
          <w:szCs w:val="28"/>
          <w:u w:val="single"/>
        </w:rPr>
        <w:t>заходами ринкового нагляду</w:t>
      </w:r>
      <w:r>
        <w:rPr>
          <w:rFonts w:ascii="Times New Roman" w:hAnsi="Times New Roman"/>
          <w:sz w:val="28"/>
          <w:szCs w:val="28"/>
        </w:rPr>
        <w:t xml:space="preserve"> є: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перевірки характеристик продукції, у тому числі відбір зразків продукції та їх експертиза (випробування);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обмежувальні (корегувальні</w:t>
      </w:r>
      <w:r>
        <w:rPr>
          <w:rFonts w:ascii="Times New Roman" w:hAnsi="Times New Roman"/>
          <w:sz w:val="28"/>
          <w:szCs w:val="28"/>
        </w:rPr>
        <w:t>) заходи, що включають: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обмеження надання продукції на ринку;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заборону надання продукції на ринку;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вилучення продукції з обігу;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відкликання продукції;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контроль стану виконання рішень про вжиття обмежувальних (корегувальних) заходів;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попередження споживачів (користувачів) про виявлену небезпеку, що становить продукція.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випадках, передбачених цим Законом та Законом України «Про загальну безпечність нехарчової продукції», заходи ринкового нагляду вживаються щодо продукції, яка: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надається на ринку, в тому числі щодо одиниць чи партій введеної в обіг продукції, що зберігаються на складах виробників (імпортерів);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представлена за місцем проведення ярмарку, виставки, показу або демонстрації продукції в інший спосіб;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перебуває пі</w:t>
      </w:r>
      <w:r>
        <w:rPr>
          <w:rFonts w:ascii="Times New Roman" w:hAnsi="Times New Roman"/>
          <w:sz w:val="28"/>
          <w:szCs w:val="28"/>
        </w:rPr>
        <w:t>д митним контролем у разі призупинення її митного оформлення за результатами контролю продукції.</w:t>
      </w:r>
    </w:p>
    <w:p w:rsidR="00414E3C" w:rsidRDefault="00414E3C">
      <w:pPr>
        <w:jc w:val="both"/>
        <w:rPr>
          <w:rFonts w:ascii="Times New Roman" w:hAnsi="Times New Roman"/>
          <w:sz w:val="28"/>
          <w:szCs w:val="28"/>
        </w:rPr>
      </w:pPr>
    </w:p>
    <w:p w:rsidR="00414E3C" w:rsidRDefault="009253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/>
          <w:b/>
          <w:sz w:val="28"/>
          <w:szCs w:val="28"/>
        </w:rPr>
        <w:t>. Що перевіряється під час здійснення перевірки характеристик продукції?</w:t>
      </w:r>
    </w:p>
    <w:p w:rsidR="00414E3C" w:rsidRDefault="009253E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ст. 23 Закону України «Про державний ринковий нагляд і контроль нехарч</w:t>
      </w:r>
      <w:r>
        <w:rPr>
          <w:rFonts w:ascii="Times New Roman" w:hAnsi="Times New Roman"/>
          <w:sz w:val="28"/>
          <w:szCs w:val="28"/>
        </w:rPr>
        <w:t>ової продукції» під час проведення перевірок характеристик продукції проводиться перевірка документів, у разі необхідності - обстеження зразків продукції, за результатами яких приймається рішення про відбір та експертизу (випробування) зразків продукції.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випадках, передбачених цим Законом, перевірці підлягають такі документи (їх копії) та інформація: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декларація про відповідність;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супровідна документація, що додається до відповідної продукції (включаючи інструкцію щодо користування продукцією);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</w:t>
      </w:r>
      <w:r>
        <w:rPr>
          <w:rFonts w:ascii="Times New Roman" w:hAnsi="Times New Roman"/>
          <w:sz w:val="28"/>
          <w:szCs w:val="28"/>
        </w:rPr>
        <w:t>гальний опис продукції, а також повний склад технічної документації на відповідну продукцію, передбачений технічним регламентом;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документи щодо системи якості чи системи управління якістю;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висновки експертиз та протоколи випробувань зразків відповідн</w:t>
      </w:r>
      <w:r>
        <w:rPr>
          <w:rFonts w:ascii="Times New Roman" w:hAnsi="Times New Roman"/>
          <w:sz w:val="28"/>
          <w:szCs w:val="28"/>
        </w:rPr>
        <w:t>ої продукції, відібраних (узятих) у межах здійснення ринкового нагляду і контролю продукції;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документи, що дають змогу відстежити походження відповідної продукції та її подальший обіг (товарно-супровідна документація або договори);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документи і матері</w:t>
      </w:r>
      <w:r>
        <w:rPr>
          <w:rFonts w:ascii="Times New Roman" w:hAnsi="Times New Roman"/>
          <w:sz w:val="28"/>
          <w:szCs w:val="28"/>
        </w:rPr>
        <w:t>али щодо стану виконання суб'єктом господарювання рішення про вжиття обмежувальних (корегувальних) заходів, у тому числі в межах моніторингу дій суб'єктів господарювання, що вживаються ними для вилучення відповідної продукції з обігу та/або її відкликання;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повідомлення та інша інформація, надана суб'єктами господарювання, митними органами, органами з оцінки відповідності згідно з положеннями цього Закону та Закону України «Про загальну безпечність нехарчової продукції».</w:t>
      </w:r>
    </w:p>
    <w:p w:rsidR="00414E3C" w:rsidRDefault="00414E3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14E3C">
        <w:tc>
          <w:tcPr>
            <w:tcW w:w="4814" w:type="dxa"/>
          </w:tcPr>
          <w:p w:rsidR="00414E3C" w:rsidRDefault="009253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 розповсюджувачів</w:t>
            </w:r>
          </w:p>
        </w:tc>
        <w:tc>
          <w:tcPr>
            <w:tcW w:w="4815" w:type="dxa"/>
          </w:tcPr>
          <w:p w:rsidR="00414E3C" w:rsidRDefault="009253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 виробників</w:t>
            </w:r>
          </w:p>
        </w:tc>
      </w:tr>
      <w:tr w:rsidR="00414E3C">
        <w:tc>
          <w:tcPr>
            <w:tcW w:w="9629" w:type="dxa"/>
            <w:gridSpan w:val="2"/>
          </w:tcPr>
          <w:p w:rsidR="00414E3C" w:rsidRDefault="009253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Об’єкти перевірки на початковому етапі</w:t>
            </w:r>
          </w:p>
        </w:tc>
      </w:tr>
      <w:tr w:rsidR="00414E3C">
        <w:tc>
          <w:tcPr>
            <w:tcW w:w="9629" w:type="dxa"/>
            <w:gridSpan w:val="2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наявність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відповідності технічним регламентам, якщо його нанесення передбачено технічним регламентом на відповідний вид продукції, та додержання вимог щодо форми, опису, правил та умов нанесення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відповідн</w:t>
            </w:r>
            <w:r>
              <w:rPr>
                <w:rFonts w:ascii="Times New Roman" w:hAnsi="Times New Roman"/>
                <w:sz w:val="28"/>
                <w:szCs w:val="28"/>
              </w:rPr>
              <w:t>ості технічним регламентам, а також правил його застосування</w:t>
            </w:r>
          </w:p>
        </w:tc>
      </w:tr>
      <w:tr w:rsidR="00414E3C">
        <w:tc>
          <w:tcPr>
            <w:tcW w:w="9629" w:type="dxa"/>
            <w:gridSpan w:val="2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наявність супровідної документації, яка має додаватися до відповідної продукції (зокрема інструкція з користування продукцією), етикетки, маркування, інших позначок, якщо це встановлено технічни</w:t>
            </w:r>
            <w:r>
              <w:rPr>
                <w:rFonts w:ascii="Times New Roman" w:hAnsi="Times New Roman"/>
                <w:sz w:val="28"/>
                <w:szCs w:val="28"/>
              </w:rPr>
              <w:t>ми регламентами, та їх відповідність встановленим вимогам</w:t>
            </w:r>
          </w:p>
        </w:tc>
      </w:tr>
      <w:tr w:rsidR="00414E3C">
        <w:tc>
          <w:tcPr>
            <w:tcW w:w="4814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наявність декларації про відповідність, якщо згідно з технічним регламентом на відповідний вид продукції продукція при її розповсюдженні має супроводжуватися такою декларацією</w:t>
            </w:r>
          </w:p>
        </w:tc>
        <w:tc>
          <w:tcPr>
            <w:tcW w:w="4815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наявність декларації </w:t>
            </w:r>
            <w:r>
              <w:rPr>
                <w:rFonts w:ascii="Times New Roman" w:hAnsi="Times New Roman"/>
                <w:sz w:val="28"/>
                <w:szCs w:val="28"/>
              </w:rPr>
              <w:t>про відповідність, якщо її складення передбачено технічним регламентом на відповідний вид продукції, а також відповідність такої декларації встановленим вимогам</w:t>
            </w:r>
          </w:p>
        </w:tc>
      </w:tr>
      <w:tr w:rsidR="00414E3C">
        <w:tc>
          <w:tcPr>
            <w:tcW w:w="4814" w:type="dxa"/>
          </w:tcPr>
          <w:p w:rsidR="00414E3C" w:rsidRDefault="00414E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опис продукції</w:t>
            </w:r>
          </w:p>
        </w:tc>
      </w:tr>
      <w:tr w:rsidR="00414E3C">
        <w:tc>
          <w:tcPr>
            <w:tcW w:w="9629" w:type="dxa"/>
            <w:gridSpan w:val="2"/>
          </w:tcPr>
          <w:p w:rsidR="00414E3C" w:rsidRDefault="009253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наступних етапах перевірки можуть бути проведені:</w:t>
            </w:r>
          </w:p>
        </w:tc>
      </w:tr>
      <w:tr w:rsidR="00414E3C">
        <w:tc>
          <w:tcPr>
            <w:tcW w:w="4814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обстеження зр</w:t>
            </w:r>
            <w:r>
              <w:rPr>
                <w:rFonts w:ascii="Times New Roman" w:hAnsi="Times New Roman"/>
                <w:sz w:val="28"/>
                <w:szCs w:val="28"/>
              </w:rPr>
              <w:t>азків відповідної продукції та ідентифікація виробника продукції</w:t>
            </w:r>
          </w:p>
        </w:tc>
        <w:tc>
          <w:tcPr>
            <w:tcW w:w="4815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обстеження зразків відповідної продукції</w:t>
            </w:r>
          </w:p>
        </w:tc>
      </w:tr>
      <w:tr w:rsidR="00414E3C">
        <w:tc>
          <w:tcPr>
            <w:tcW w:w="4814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відбір та експертиза (випробування) зразків продукції (у разі якщо є підстави вважати, що продукція є небезпечною, становить ризик та/або не відповід</w:t>
            </w:r>
            <w:r>
              <w:rPr>
                <w:rFonts w:ascii="Times New Roman" w:hAnsi="Times New Roman"/>
                <w:sz w:val="28"/>
                <w:szCs w:val="28"/>
              </w:rPr>
              <w:t>ає встановленим вимогам)</w:t>
            </w:r>
          </w:p>
        </w:tc>
        <w:tc>
          <w:tcPr>
            <w:tcW w:w="4815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разі якщо є підстави вважати, що продукція є небезпечною, становить ризик та/або не відповідає встановленим вимогам: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перевірка повного складу технічної документації на відповідну продукцію, передбаченого технічним регламентом;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перевірка документів щодо системи якості чи системи управління якістю, якщо їх надання передбачено технічним регламентом на відповідний вид продукції</w:t>
            </w:r>
          </w:p>
        </w:tc>
      </w:tr>
      <w:tr w:rsidR="00414E3C">
        <w:tc>
          <w:tcPr>
            <w:tcW w:w="4814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визначених Законом випадках: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об'єктом перевірки є документи, що містять інформацію про походження п</w:t>
            </w:r>
            <w:r>
              <w:rPr>
                <w:rFonts w:ascii="Times New Roman" w:hAnsi="Times New Roman"/>
                <w:sz w:val="28"/>
                <w:szCs w:val="28"/>
              </w:rPr>
              <w:t>родукції, яка є небезпечною, становить ризик та/або не відповідає встановленим вимогам, та її подальший обіг (договори, товарно-супровідна документація тощо);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проводиться перевірка умов зберігання відповідної продукції</w:t>
            </w:r>
          </w:p>
        </w:tc>
        <w:tc>
          <w:tcPr>
            <w:tcW w:w="4815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визначених Законом випадках здійс</w:t>
            </w:r>
            <w:r>
              <w:rPr>
                <w:rFonts w:ascii="Times New Roman" w:hAnsi="Times New Roman"/>
                <w:sz w:val="28"/>
                <w:szCs w:val="28"/>
              </w:rPr>
              <w:t>нюється відбір та експертиза (випробування) зразків продукції</w:t>
            </w:r>
          </w:p>
        </w:tc>
      </w:tr>
    </w:tbl>
    <w:p w:rsidR="00414E3C" w:rsidRDefault="00414E3C">
      <w:pPr>
        <w:jc w:val="both"/>
        <w:rPr>
          <w:rFonts w:ascii="Times New Roman" w:hAnsi="Times New Roman"/>
          <w:b/>
          <w:sz w:val="28"/>
          <w:szCs w:val="28"/>
        </w:rPr>
      </w:pPr>
    </w:p>
    <w:p w:rsidR="00414E3C" w:rsidRDefault="009253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Яка процедура введення в обіг будівельних виробів (продукції)?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40"/>
        <w:gridCol w:w="6089"/>
      </w:tblGrid>
      <w:tr w:rsidR="00414E3C">
        <w:tc>
          <w:tcPr>
            <w:tcW w:w="3540" w:type="dxa"/>
          </w:tcPr>
          <w:p w:rsidR="00414E3C" w:rsidRDefault="009253E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Будівельні вироби (продукція), які введено в обіг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 01 січня 2023 року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(відповідно до вимог Технічного регламенту будівельних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виробів (продукції), затвердженого постановою Кабінету Міністрів України від 20.12.2006 № 1764)</w:t>
            </w:r>
          </w:p>
        </w:tc>
        <w:tc>
          <w:tcPr>
            <w:tcW w:w="6089" w:type="dxa"/>
          </w:tcPr>
          <w:p w:rsidR="00414E3C" w:rsidRDefault="009253E1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Будівельні вироби (продукція), які введено в обіг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 01 січня 2023 року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(відповідно до вимог Закону України «Про надання будівельної продукції на ринку»)</w:t>
            </w:r>
          </w:p>
        </w:tc>
      </w:tr>
      <w:tr w:rsidR="00414E3C">
        <w:tc>
          <w:tcPr>
            <w:tcW w:w="3540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ельні вироби (продукція) повинні відповідати призначенню та забезпечувати виконання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основних вимог до будівель і споруд, визначених Законом України «Про будівельні норми».</w:t>
            </w:r>
          </w:p>
          <w:p w:rsidR="00414E3C" w:rsidRDefault="00414E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E3C" w:rsidRDefault="00414E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Перелік національних стандартів та перелік національних стандартів, ідентичних </w:t>
            </w:r>
            <w:r>
              <w:rPr>
                <w:rFonts w:ascii="Times New Roman" w:hAnsi="Times New Roman"/>
                <w:sz w:val="28"/>
                <w:szCs w:val="28"/>
              </w:rPr>
              <w:t>гармонізованим європейським стандартам,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відповідність яким надає презумпцію відповідності виробів вимогам Технічного регламенту, затверджено наказом Міністерства розвитку громад та територій України від 02.07.2020        № 153 та оприлюднено на сайті цього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Міністерства: 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https://www.minregion.gov.ua/napryamki-diyalnosti/building/tech-reg/normuvannia/perelik-natsionalnih-standartiv-yaki-v-razi-dobrovilnogo-zastosuvannya-ye-dokazom-vidpovidnosti-produktsiyi-vimogam-tehnichnogo-reglamentu-bu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divelnih-virobiv-budivel-i-sporud/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Суттєві характеристики будівельної продукції визначаються у регламентних технічних специфікаціях щодо основних вимог до споруд (національних стандартах для цілей застосування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цього Закону, що є ідентичними відповідним га</w:t>
            </w:r>
            <w:r>
              <w:rPr>
                <w:rFonts w:ascii="Times New Roman" w:hAnsi="Times New Roman"/>
                <w:sz w:val="28"/>
                <w:szCs w:val="28"/>
              </w:rPr>
              <w:t>рмонізованим європейським стандартам, європейських документах з визначення прийнятності та національних документах України з визначення прийнятності).</w:t>
            </w:r>
          </w:p>
          <w:p w:rsidR="00414E3C" w:rsidRDefault="00414E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Перелік національних стандартів затверджено наказом Міністерства розвитку громад та територій України ві</w:t>
            </w:r>
            <w:r>
              <w:rPr>
                <w:rFonts w:ascii="Times New Roman" w:hAnsi="Times New Roman"/>
                <w:sz w:val="28"/>
                <w:szCs w:val="28"/>
              </w:rPr>
              <w:t>д 18.02.2022 № 54 та оприлюднено на сайті цього Міністерства: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https://www.minregion.gov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.ua/wp-content/uploads/2022/02/nakaz-54.pdf?__cf_chl_tk=kCje4It1EhBryjSYxwunUmb5V0caTFjz_.A8iVjETrs-1668432242-0-gaNycGzNC70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4E3C" w:rsidRDefault="00414E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разі якщо будівельна продукція не охоплена або не повністю охоплена національним стандартом із зазначеного переліку, а в Європе</w:t>
            </w:r>
            <w:r>
              <w:rPr>
                <w:rFonts w:ascii="Times New Roman" w:hAnsi="Times New Roman"/>
                <w:sz w:val="28"/>
                <w:szCs w:val="28"/>
              </w:rPr>
              <w:t>йському Союзі щодо такої продукції є чинним європейський документ з визначення прийнятності, для видачі висновку про технічну прийнятність за рішенням виробника будівельної продукції може застосовуватися такий європейський документ.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Перелік європейських до</w:t>
            </w:r>
            <w:r>
              <w:rPr>
                <w:rFonts w:ascii="Times New Roman" w:hAnsi="Times New Roman"/>
                <w:sz w:val="28"/>
                <w:szCs w:val="28"/>
              </w:rPr>
              <w:t>кументів з визначення прийнятності затверджено наказом Міністерства розвитку громад та територій України від 30.05.2022 № 87 та оприлюднено на сайті цього Міністерства: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https://www.minregion.gov.ua/wp-content/uploads/2022/06/nakaz-87.pdf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4E3C">
        <w:tc>
          <w:tcPr>
            <w:tcW w:w="3540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 введенням в обіг будівельних виробів (продукції) виробник забезпечує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проведення оцінки відповідності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процедурами, визначеними у пункті 21 цього Технічного регламенту, з урахув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анням модулів оцінки відповідності, затверджених постановою Кабінету Міністрів України від 13.12.2016 № 95, 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складає декларацію про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відповідність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формою, визначеною у додатку до цього Технічного регламенту.</w:t>
            </w:r>
          </w:p>
          <w:p w:rsidR="00414E3C" w:rsidRDefault="00414E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E3C" w:rsidRDefault="009253E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 припинення або скасування воєнного стану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Україні та протягом наступних 90 календарних днів у разі неможливості провести оцінку відповідності із застосуванням процедур, визначених цим Технічним регламентом, виробник за погодженням з Мінрегіоном може використовувати інші модулі оцінки відповідно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сті, визначені постановою Кабінету Міністрів України від 13.12.2016 р. № 95 </w:t>
            </w:r>
          </w:p>
        </w:tc>
        <w:tc>
          <w:tcPr>
            <w:tcW w:w="6089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Якщо будівельна продукція охоплюється національним стандартом або відповідає висновку про технічну прийнятність, виданому щодо неї, виробник складає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декларацію показників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введ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енні такої продукції в обіг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(крім випадків, передбачених ч. 4 ст. 5 Закону України «Про надання будівельної продукції на ринку»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14E3C" w:rsidRDefault="00414E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основу для декларування показників будівельної продукції виробник складає технічну документацію, що описує всі відповідні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елементи, пов’язані із застосовною системою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оцінки та перевірки стабільності показників будівельної продукції.</w:t>
            </w:r>
          </w:p>
          <w:p w:rsidR="00414E3C" w:rsidRDefault="00414E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Декларація показників повинна містити інформацію, передбачену ст. 6 Закону «Про надання будівельної продукції на ринку» та складається з викорис</w:t>
            </w:r>
            <w:r>
              <w:rPr>
                <w:rFonts w:ascii="Times New Roman" w:hAnsi="Times New Roman"/>
                <w:sz w:val="28"/>
                <w:szCs w:val="28"/>
              </w:rPr>
              <w:t>танням Єдиної державної електронної системи у сфері будівництва у порядку, затвердженому постановою Кабінету Міністрів України від 23.06.2021 № 681, за формою та згідно з інструкціями, затвердженими постановою Кабінету Міністрів України від 23.12.2021 № 14</w:t>
            </w:r>
            <w:r>
              <w:rPr>
                <w:rFonts w:ascii="Times New Roman" w:hAnsi="Times New Roman"/>
                <w:sz w:val="28"/>
                <w:szCs w:val="28"/>
              </w:rPr>
              <w:t>58, зокрема: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складається щодо кожної будівельної продукції (відповідного типу) під час введення продукції в обіг;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заповнюється на основі складеної виробником технічної документації, що описує всі відповідні елементи, пов’язані із застосованою системою </w:t>
            </w:r>
            <w:r>
              <w:rPr>
                <w:rFonts w:ascii="Times New Roman" w:hAnsi="Times New Roman"/>
                <w:sz w:val="28"/>
                <w:szCs w:val="28"/>
              </w:rPr>
              <w:t>(системами) оцінки та перевірки стабільності показників будівельної продукції відповідно до постанови Кабінету Міністрів України від 09.06.2021 № 596;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заповнюється державною мовою. У разі коли декларація складена іноземним виробником іншою мовою, ніж дер</w:t>
            </w:r>
            <w:r>
              <w:rPr>
                <w:rFonts w:ascii="Times New Roman" w:hAnsi="Times New Roman"/>
                <w:sz w:val="28"/>
                <w:szCs w:val="28"/>
              </w:rPr>
              <w:t>жавна, вона перекладається на державну мову. Переклад декларації вноситься до Електронної системи разом з копією декларації, складеної іноземною мовою;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повинна відображати показники будівельної продукції, пов’язані з її суттєвими експлуатаційними характе</w:t>
            </w:r>
            <w:r>
              <w:rPr>
                <w:rFonts w:ascii="Times New Roman" w:hAnsi="Times New Roman"/>
                <w:sz w:val="28"/>
                <w:szCs w:val="28"/>
              </w:rPr>
              <w:t>ристиками, згідно з відповідними регламентними технічними специфікаціями</w:t>
            </w:r>
          </w:p>
        </w:tc>
      </w:tr>
      <w:tr w:rsidR="00414E3C">
        <w:tc>
          <w:tcPr>
            <w:tcW w:w="9629" w:type="dxa"/>
            <w:gridSpan w:val="2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До припинення або скасування воєнного стану в Україні та протягом наступних 90 календарних днів дозволяється введення в обіг та надання на ринку будівельних виробів (продукції), що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ввозяться на митну територію України з держав - членів ЄС, на підставі декларації показників будівельних виробів (продукції), виданої іноземним суб’єктом господарювання мовою оригіналу (разом з копією такої декларації, складеною державною мовою), що підтве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рджує відповідність будівельних виробів (продукції) вимогам Регламенту (ЄС) 305/2011 Європейського Парламенту та Ради від 9.03.2011, що встановлює гармонізовані умови для розміщення на ринку будівельних виробів та скасовує Директиву Ради 89/106/ЄЕС. При ць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ому складення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декларації про відповідність, а також нанесення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знака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відповідності технічним регламентам не вимагаються</w:t>
            </w:r>
          </w:p>
        </w:tc>
      </w:tr>
      <w:tr w:rsidR="00414E3C">
        <w:tc>
          <w:tcPr>
            <w:tcW w:w="3540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Декларація про відповідність та інша документація, складена за результатами виконання процедур оцінки відповідності, повинні зберігатися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виробником протягом 10 років після введення в обіг будівельного виробу (продукції) та надаватися для перевірки в установленому законодавством порядку</w:t>
            </w:r>
          </w:p>
        </w:tc>
        <w:tc>
          <w:tcPr>
            <w:tcW w:w="6089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Виробник повинен зберігати технічну документацію та декларацію показників протягом 10 років після введенн</w:t>
            </w:r>
            <w:r>
              <w:rPr>
                <w:rFonts w:ascii="Times New Roman" w:hAnsi="Times New Roman"/>
                <w:sz w:val="28"/>
                <w:szCs w:val="28"/>
              </w:rPr>
              <w:t>я в обіг відповідної будівельної продукції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 основі відповідного законодавства Європейського Союзу для певних груп будівельної продукції цей строк може бути змінено центральним органом виконавчої влади, що забезпечує формування державної політики у сфері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будівництва, на основі очікуваного строку служби або значущості будівельної продукції у будівлях або спорудах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декларації в Електронній системі або паперова копія декларації, роздрукованої із Системи, надається виробником щодо кожної </w:t>
            </w:r>
            <w:r>
              <w:rPr>
                <w:rFonts w:ascii="Times New Roman" w:hAnsi="Times New Roman"/>
                <w:sz w:val="28"/>
                <w:szCs w:val="28"/>
              </w:rPr>
              <w:t>будівельної продукції відповідного типу, що надається на ринку протягом 10 років після введення в обіг (якщо щодо зазначеної будівельної продукції Мінрегіоном не визначено інший строк)</w:t>
            </w:r>
          </w:p>
        </w:tc>
      </w:tr>
    </w:tbl>
    <w:p w:rsidR="00414E3C" w:rsidRDefault="00414E3C">
      <w:pPr>
        <w:jc w:val="both"/>
        <w:rPr>
          <w:rFonts w:ascii="Times New Roman" w:hAnsi="Times New Roman"/>
          <w:b/>
          <w:sz w:val="28"/>
          <w:szCs w:val="28"/>
        </w:rPr>
      </w:pPr>
    </w:p>
    <w:p w:rsidR="00414E3C" w:rsidRDefault="009253E1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Які правила нанесення </w:t>
      </w:r>
      <w:proofErr w:type="spellStart"/>
      <w:r>
        <w:rPr>
          <w:rFonts w:ascii="Times New Roman" w:hAnsi="Times New Roman"/>
          <w:b/>
          <w:sz w:val="28"/>
          <w:szCs w:val="28"/>
        </w:rPr>
        <w:t>знака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відповідності технічним регламентам?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14E3C">
        <w:tc>
          <w:tcPr>
            <w:tcW w:w="4814" w:type="dxa"/>
          </w:tcPr>
          <w:p w:rsidR="00414E3C" w:rsidRDefault="009253E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удівельні вироби (продукція), які введено в обіг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 01 січня 2023 року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(відповідно до вимог Технічного регламенту будівельних виробів (продукції), затвердженого постановою Кабінету Міністрів України від 20.12.2006 № 1764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4815" w:type="dxa"/>
          </w:tcPr>
          <w:p w:rsidR="00414E3C" w:rsidRDefault="009253E1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Будівельні вироби (продукція), які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буде введено в обіг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 01 січня 2023 року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(відповідно до вимог Закону України «Про надання будівельної продукції на ринку»)</w:t>
            </w:r>
          </w:p>
        </w:tc>
      </w:tr>
      <w:tr w:rsidR="00414E3C">
        <w:tc>
          <w:tcPr>
            <w:tcW w:w="4814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Після складення декларації про відповідність будівельного виробу (продукції) виробник наносить знак відповідності технічним регламе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нтам на будівельний виріб (продукцію) або на додану до нього етикетку, упаковку чи супровідну документацію згідно з правилами та умовами нанесення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відповідності технічним регламентам, затвердженими постановою Кабінету Міністрів України від 30.12.2015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1184, а саме:</w:t>
            </w:r>
          </w:p>
          <w:p w:rsidR="009253E1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3E1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 відповідності технічним регламентам наноситься на будівельну продукцію, щодо якої виробником складена декларація показників згідно із загальними принципами маркування таким знаком, встановленими Законом України «Про технічні </w:t>
            </w:r>
            <w:r>
              <w:rPr>
                <w:rFonts w:ascii="Times New Roman" w:hAnsi="Times New Roman"/>
                <w:sz w:val="28"/>
                <w:szCs w:val="28"/>
              </w:rPr>
              <w:t>регламенти та оцінку відповідності» та відповідно до Закону України «Про надання будівельної продукції на ринку»</w:t>
            </w:r>
          </w:p>
          <w:p w:rsidR="00414E3C" w:rsidRDefault="00414E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3C">
        <w:tc>
          <w:tcPr>
            <w:tcW w:w="9629" w:type="dxa"/>
            <w:gridSpan w:val="2"/>
          </w:tcPr>
          <w:p w:rsidR="00414E3C" w:rsidRDefault="009253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знака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відповідності</w:t>
            </w:r>
          </w:p>
          <w:p w:rsidR="009253E1" w:rsidRDefault="009253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4E3C">
        <w:tc>
          <w:tcPr>
            <w:tcW w:w="9629" w:type="dxa"/>
            <w:gridSpan w:val="2"/>
          </w:tcPr>
          <w:p w:rsidR="00414E3C" w:rsidRDefault="00925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607820" cy="1783080"/>
                  <wp:effectExtent l="0" t="0" r="0" b="7620"/>
                  <wp:docPr id="1" name="Рисунок 1" descr="https://zakon.rada.gov.ua/laws/file/imgs/42/p452109n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.rada.gov.ua/laws/file/imgs/42/p452109n14.gif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E3C" w:rsidRDefault="009253E1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Поки Україна не є членом ЄС й не підписано Угоду про оцінку відповідності та прийнятність промислових товарів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знак відповідності наноситься із загальними принципами маркування</w:t>
            </w:r>
          </w:p>
        </w:tc>
      </w:tr>
      <w:tr w:rsidR="00414E3C">
        <w:tc>
          <w:tcPr>
            <w:tcW w:w="9629" w:type="dxa"/>
            <w:gridSpan w:val="2"/>
          </w:tcPr>
          <w:p w:rsidR="00414E3C" w:rsidRDefault="009253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Опис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знака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відповідності</w:t>
            </w:r>
          </w:p>
        </w:tc>
      </w:tr>
      <w:tr w:rsidR="00414E3C">
        <w:tc>
          <w:tcPr>
            <w:tcW w:w="9629" w:type="dxa"/>
            <w:gridSpan w:val="2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знак відповідності має форму незамкненого з правого боку кола, усередині якого вміщено стилізоване зображення трилисника. Довжина розриву кола становить 0,22 йог</w:t>
            </w:r>
            <w:r>
              <w:rPr>
                <w:rFonts w:ascii="Times New Roman" w:hAnsi="Times New Roman"/>
                <w:sz w:val="28"/>
                <w:szCs w:val="28"/>
              </w:rPr>
              <w:t>о загальної довжини (або 80 градусів);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зображення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відповідності може бути плоским і виконується двома контрастними кольорами або рельєфним одним кольором;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висота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відповідності не може бути менш як 5 міліметрів, якщо інше не передбачено відп</w:t>
            </w:r>
            <w:r>
              <w:rPr>
                <w:rFonts w:ascii="Times New Roman" w:hAnsi="Times New Roman"/>
                <w:sz w:val="28"/>
                <w:szCs w:val="28"/>
              </w:rPr>
              <w:t>овідним технічним регламентом;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 разі зменшення або збільшення розміру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відповідності повинні бути дотримані пропорції його форми;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допускається відхилення від пропорцій зображення форми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відповідності до 20 відсотків у зв’язку з технологічним</w:t>
            </w:r>
            <w:r>
              <w:rPr>
                <w:rFonts w:ascii="Times New Roman" w:hAnsi="Times New Roman"/>
                <w:sz w:val="28"/>
                <w:szCs w:val="28"/>
              </w:rPr>
              <w:t>и особливостями його нанесення</w:t>
            </w:r>
          </w:p>
        </w:tc>
      </w:tr>
      <w:tr w:rsidR="00414E3C">
        <w:tc>
          <w:tcPr>
            <w:tcW w:w="9629" w:type="dxa"/>
            <w:gridSpan w:val="2"/>
          </w:tcPr>
          <w:p w:rsidR="00414E3C" w:rsidRDefault="009253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Правила та умови нанесення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знака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відповідності</w:t>
            </w:r>
          </w:p>
        </w:tc>
      </w:tr>
      <w:tr w:rsidR="00414E3C">
        <w:tc>
          <w:tcPr>
            <w:tcW w:w="4814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наноситься на продукцію або на її табличку з технічними даними таким чином, щоб він був видимим, розбірливим і незмивним (коли це є неможливим або невиправданим через </w:t>
            </w:r>
            <w:r>
              <w:rPr>
                <w:rFonts w:ascii="Times New Roman" w:hAnsi="Times New Roman"/>
                <w:sz w:val="28"/>
                <w:szCs w:val="28"/>
              </w:rPr>
              <w:t>характер продукції - наноситься на пакування та на супровідні документи, якщо такі документи передбачені відповідним технічним регламентом);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може супроводжуватися піктограмою або будь-яким іншим знаком, що вказує на особливий ризик або використання;</w:t>
            </w:r>
          </w:p>
          <w:p w:rsidR="00414E3C" w:rsidRDefault="00414E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упроводжується ідентифікаційним номером призначеного органу з оцінки відповідності, якщо такий орган був залучений на етапі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контролю виробництва, у форматі UA.TR.YYY або YYY, де: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UA - умовне позначення України латинськими літерами;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TR - умовне по</w:t>
            </w:r>
            <w:r>
              <w:rPr>
                <w:rFonts w:ascii="Times New Roman" w:hAnsi="Times New Roman"/>
                <w:sz w:val="28"/>
                <w:szCs w:val="28"/>
              </w:rPr>
              <w:t>значення, яке означає, що орган з оцінки відповідності призначено на виконання робіт з оцінки відповідності вимогам технічних регламентів;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YYY - ідентифікаційний номер призначеного органу з оцінки відповідності (наноситься таким органом або за його вк</w:t>
            </w:r>
            <w:r>
              <w:rPr>
                <w:rFonts w:ascii="Times New Roman" w:hAnsi="Times New Roman"/>
                <w:sz w:val="28"/>
                <w:szCs w:val="28"/>
              </w:rPr>
              <w:t>азівкою виробником чи уповноваженим представником)</w:t>
            </w:r>
          </w:p>
        </w:tc>
        <w:tc>
          <w:tcPr>
            <w:tcW w:w="4815" w:type="dxa"/>
          </w:tcPr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наноситься на будівельну продукцію або на етикетку, що кріпиться до неї, таким чином, щоб він був видимим, розбірливим та незмивним. У разі якщо це неможливо або невиправдано через характер продукції, - </w:t>
            </w:r>
            <w:r>
              <w:rPr>
                <w:rFonts w:ascii="Times New Roman" w:hAnsi="Times New Roman"/>
                <w:sz w:val="28"/>
                <w:szCs w:val="28"/>
              </w:rPr>
              <w:t>наноситься на упаковку або на супровідні документи;</w:t>
            </w:r>
          </w:p>
          <w:p w:rsidR="00414E3C" w:rsidRDefault="00414E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може супроводжуватися піктограмою або будь-яким іншим знаком, що помітно вказує на особливий ризик або особливості використання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супроводжується: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двома останніми цифрами року, в якому його вперше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нанесено;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найменуванням та місцезнаходженням виробника або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ідентифікаційним знаком, що дає змогу легко та недвозначно встановити найменування та місцезнаходження виробника;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унікальним ідентифікаційним кодом типу продукції;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реєстраційним ном</w:t>
            </w:r>
            <w:r>
              <w:rPr>
                <w:rFonts w:ascii="Times New Roman" w:hAnsi="Times New Roman"/>
                <w:sz w:val="28"/>
                <w:szCs w:val="28"/>
              </w:rPr>
              <w:t>ером декларації показників у Єдиній державній електронній системі у сфері будівництва;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рівнем або класом показників, що декларуються;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позначенням застосованої регламентної технічної специфікації;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ідентифікаційним номером призначеного органу </w:t>
            </w:r>
            <w:r>
              <w:rPr>
                <w:rFonts w:ascii="Times New Roman" w:hAnsi="Times New Roman"/>
                <w:sz w:val="28"/>
                <w:szCs w:val="28"/>
              </w:rPr>
              <w:t>з оцінки відповідності у разі його залучення;</w:t>
            </w:r>
          </w:p>
          <w:p w:rsidR="00414E3C" w:rsidRDefault="0092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інформацією про передбачене використання, визначене у застосованій регламентній технічній специфікації</w:t>
            </w:r>
          </w:p>
        </w:tc>
      </w:tr>
    </w:tbl>
    <w:p w:rsidR="00414E3C" w:rsidRDefault="00414E3C">
      <w:pPr>
        <w:jc w:val="both"/>
        <w:rPr>
          <w:rFonts w:ascii="Times New Roman" w:hAnsi="Times New Roman"/>
          <w:sz w:val="28"/>
          <w:szCs w:val="28"/>
        </w:rPr>
      </w:pPr>
    </w:p>
    <w:p w:rsidR="00414E3C" w:rsidRDefault="009253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sz w:val="28"/>
          <w:szCs w:val="28"/>
        </w:rPr>
        <w:t>. Які обов’язки у виробників?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Обов’язки виробника заначено у ст. 8 Закону України «Про загальну </w:t>
      </w:r>
      <w:r>
        <w:rPr>
          <w:rFonts w:ascii="Times New Roman" w:hAnsi="Times New Roman"/>
          <w:sz w:val="28"/>
          <w:szCs w:val="28"/>
        </w:rPr>
        <w:t>безпечність нехарчової продукції» та ст. 11 Закону України «Про надання будівельної продукції на ринку», зокрема:</w:t>
      </w:r>
    </w:p>
    <w:p w:rsidR="00414E3C" w:rsidRDefault="009253E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Зазначати на будівельній продукції (</w:t>
      </w:r>
      <w:r>
        <w:rPr>
          <w:rFonts w:ascii="Times New Roman" w:hAnsi="Times New Roman"/>
          <w:i/>
          <w:sz w:val="28"/>
          <w:szCs w:val="28"/>
        </w:rPr>
        <w:t>якщо це неможливо – на її упаковці або в супровідному документі</w:t>
      </w:r>
      <w:r>
        <w:rPr>
          <w:rFonts w:ascii="Times New Roman" w:hAnsi="Times New Roman"/>
          <w:sz w:val="28"/>
          <w:szCs w:val="28"/>
        </w:rPr>
        <w:t>):</w:t>
      </w:r>
    </w:p>
    <w:p w:rsidR="00414E3C" w:rsidRDefault="009253E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своє найменування, зареєстроване комерці</w:t>
      </w:r>
      <w:r>
        <w:rPr>
          <w:rFonts w:ascii="Times New Roman" w:hAnsi="Times New Roman"/>
          <w:sz w:val="28"/>
          <w:szCs w:val="28"/>
        </w:rPr>
        <w:t>йне найменування чи зареєстровану торговельну марку;</w:t>
      </w:r>
    </w:p>
    <w:p w:rsidR="00414E3C" w:rsidRDefault="009253E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місцезнаходження виробника, контактну поштову адресу (</w:t>
      </w:r>
      <w:r>
        <w:rPr>
          <w:rFonts w:ascii="Times New Roman" w:hAnsi="Times New Roman"/>
          <w:i/>
          <w:sz w:val="28"/>
          <w:szCs w:val="28"/>
        </w:rPr>
        <w:t>має зазначатися єдине місце, за яким можна зв’язатися з виробником</w:t>
      </w:r>
      <w:r>
        <w:rPr>
          <w:rFonts w:ascii="Times New Roman" w:hAnsi="Times New Roman"/>
          <w:sz w:val="28"/>
          <w:szCs w:val="28"/>
        </w:rPr>
        <w:t>);</w:t>
      </w:r>
    </w:p>
    <w:p w:rsidR="00414E3C" w:rsidRDefault="009253E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назву, тип або номер моделі, номер партії або серійний номер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чи будь-який інший </w:t>
      </w:r>
      <w:r>
        <w:rPr>
          <w:rFonts w:ascii="Times New Roman" w:hAnsi="Times New Roman"/>
          <w:sz w:val="28"/>
          <w:szCs w:val="28"/>
        </w:rPr>
        <w:t>елемент, що дає змогу ідентифікувати таку продукцію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 випадках та в порядку, визначених законодавством.</w:t>
      </w:r>
    </w:p>
    <w:p w:rsidR="00414E3C" w:rsidRDefault="009253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Забезпечувати наявність процедур, які гарантують, що задекларовані показники будівельної продукції підтримуються під час серійного виробництва (</w:t>
      </w:r>
      <w:r>
        <w:rPr>
          <w:rFonts w:ascii="Times New Roman" w:hAnsi="Times New Roman"/>
          <w:i/>
          <w:sz w:val="28"/>
          <w:szCs w:val="28"/>
        </w:rPr>
        <w:t>належним</w:t>
      </w:r>
      <w:r>
        <w:rPr>
          <w:rFonts w:ascii="Times New Roman" w:hAnsi="Times New Roman"/>
          <w:i/>
          <w:sz w:val="28"/>
          <w:szCs w:val="28"/>
        </w:rPr>
        <w:t xml:space="preserve"> чином мають враховуватися зміни в типі продукції або застосовних регламентних технічних специфікаціях</w:t>
      </w:r>
      <w:r>
        <w:rPr>
          <w:rFonts w:ascii="Times New Roman" w:hAnsi="Times New Roman"/>
          <w:sz w:val="28"/>
          <w:szCs w:val="28"/>
        </w:rPr>
        <w:t>). У разі необхідності забезпечення точності, надійності та стабільності задекларованих показників будівельної продукції - проводити експертизу (випробува</w:t>
      </w:r>
      <w:r>
        <w:rPr>
          <w:rFonts w:ascii="Times New Roman" w:hAnsi="Times New Roman"/>
          <w:sz w:val="28"/>
          <w:szCs w:val="28"/>
        </w:rPr>
        <w:t>ння) зразків будівельної продукції, що введена в обіг або надається на ринку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під їхньою торговельною маркою.</w:t>
      </w:r>
    </w:p>
    <w:p w:rsidR="00414E3C" w:rsidRDefault="009253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Розглядати, вивчати та (за потреби) підтримувати облік звернень (скарг) споживачів (користувачів) щодо безпечності продукції, введеної в обіг під </w:t>
      </w:r>
      <w:r>
        <w:rPr>
          <w:rFonts w:ascii="Times New Roman" w:hAnsi="Times New Roman"/>
          <w:sz w:val="28"/>
          <w:szCs w:val="28"/>
        </w:rPr>
        <w:lastRenderedPageBreak/>
        <w:t>ї</w:t>
      </w:r>
      <w:r>
        <w:rPr>
          <w:rFonts w:ascii="Times New Roman" w:hAnsi="Times New Roman"/>
          <w:sz w:val="28"/>
          <w:szCs w:val="28"/>
        </w:rPr>
        <w:t>хньою торговельною маркою, вживати за результатами такого розгляду необхідних заходів,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 також інформувати розповсюджувачів будівельної продукції про такий моніторинг.</w:t>
      </w:r>
    </w:p>
    <w:p w:rsidR="00414E3C" w:rsidRDefault="009253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Надавати (в межах своєї діяльності) споживачам (користувачам) інформацію, яка дає їм мож</w:t>
      </w:r>
      <w:r>
        <w:rPr>
          <w:rFonts w:ascii="Times New Roman" w:hAnsi="Times New Roman"/>
          <w:sz w:val="28"/>
          <w:szCs w:val="28"/>
        </w:rPr>
        <w:t>ливість оцінювати ризики, притаманні продукції протягом звичайного або обґрунтовано передбачуваного строку її використання, якщо такі ризики є не відразу очевидними, без належних попереджень, та яка дає змогу споживачам (користувачам) вживати запобіжних за</w:t>
      </w:r>
      <w:r>
        <w:rPr>
          <w:rFonts w:ascii="Times New Roman" w:hAnsi="Times New Roman"/>
          <w:sz w:val="28"/>
          <w:szCs w:val="28"/>
        </w:rPr>
        <w:t>ходів щодо таких ризиків.</w:t>
      </w:r>
    </w:p>
    <w:p w:rsidR="00414E3C" w:rsidRDefault="009253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наданні будівельної продукції на ринку - забезпечувати її супроводження інструкціями та/або інформацією про безпечність, складеними з дотриманням вимог Закону України «Про забезпечення функціонування української мови як держав</w:t>
      </w:r>
      <w:r>
        <w:rPr>
          <w:rFonts w:ascii="Times New Roman" w:hAnsi="Times New Roman"/>
          <w:sz w:val="28"/>
          <w:szCs w:val="28"/>
        </w:rPr>
        <w:t>ної».</w:t>
      </w:r>
    </w:p>
    <w:p w:rsidR="00414E3C" w:rsidRDefault="009253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урахуванням характеристик продукції, яку постачають, вживати заходів:</w:t>
      </w:r>
    </w:p>
    <w:p w:rsidR="00414E3C" w:rsidRDefault="009253E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інформування споживачів (користувачів) про ризики, які може становити ця продукція;</w:t>
      </w:r>
    </w:p>
    <w:p w:rsidR="00414E3C" w:rsidRDefault="009253E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уникнення ризиків, у тому числі вилучення продукції з обігу, попередження споживачів</w:t>
      </w:r>
      <w:r>
        <w:rPr>
          <w:rFonts w:ascii="Times New Roman" w:hAnsi="Times New Roman"/>
          <w:sz w:val="28"/>
          <w:szCs w:val="28"/>
        </w:rPr>
        <w:t xml:space="preserve"> (користувачів) про ризики, які може становити продукція, відкликання продукції.</w:t>
      </w:r>
    </w:p>
    <w:p w:rsidR="00414E3C" w:rsidRDefault="009253E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стало відомо або має бути відомо на підставі наявної інформації, що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будівельна продукція, яку введено в обіг, не відповідає декларації показників або іншим застосовним ви</w:t>
      </w:r>
      <w:r>
        <w:rPr>
          <w:rFonts w:ascii="Times New Roman" w:hAnsi="Times New Roman"/>
          <w:sz w:val="28"/>
          <w:szCs w:val="28"/>
        </w:rPr>
        <w:t>могам, становить ризики для споживачів (користувачів), несумісні із загальною вимогою щодо безпечності продукції:</w:t>
      </w:r>
    </w:p>
    <w:p w:rsidR="00414E3C" w:rsidRDefault="009253E1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негайно вживати коригувальних заходів для приведення будівельної продукції у відповідність із встановленими вимогами, а в разі необхідності - </w:t>
      </w:r>
      <w:r>
        <w:rPr>
          <w:rFonts w:ascii="Times New Roman" w:hAnsi="Times New Roman"/>
          <w:sz w:val="28"/>
          <w:szCs w:val="28"/>
        </w:rPr>
        <w:t>щодо вилучення її з обігу або відкликання;</w:t>
      </w:r>
    </w:p>
    <w:p w:rsidR="00414E3C" w:rsidRDefault="009253E1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негайно повідомляти про це відповідний орган державного ринкового нагляду та надавати йому детальну інформацію, зокрема про невідповідність будівельної продукції вимогам Закону та про вжиті коригувальні заходи.</w:t>
      </w:r>
    </w:p>
    <w:p w:rsidR="00414E3C" w:rsidRDefault="009253E1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Співпрацювати (в межах своєї діяльності) з органами державного ринкового нагляду, зокрема:</w:t>
      </w:r>
    </w:p>
    <w:p w:rsidR="00414E3C" w:rsidRDefault="009253E1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обґрунтований запит органу надавати державною мовою всю інформацію та документацію, необхідну для засвідчення відповідності будівельної продукції декларації показ</w:t>
      </w:r>
      <w:r>
        <w:rPr>
          <w:rFonts w:ascii="Times New Roman" w:hAnsi="Times New Roman"/>
          <w:sz w:val="28"/>
          <w:szCs w:val="28"/>
        </w:rPr>
        <w:t>ників та іншим застосовним вимогам;</w:t>
      </w:r>
    </w:p>
    <w:p w:rsidR="00414E3C" w:rsidRDefault="009253E1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співпрацювати щодо вжиття заходів для усунення ризику, що становить введена ним в обіг будівельна продукція.</w:t>
      </w:r>
    </w:p>
    <w:p w:rsidR="00414E3C" w:rsidRDefault="00414E3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414E3C" w:rsidRDefault="009253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 Які обов’язки у розповсюджувачів?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Обов’язки розповсюджувачів заначено у ст. 9 Закону України «Про загальну </w:t>
      </w:r>
      <w:r>
        <w:rPr>
          <w:rFonts w:ascii="Times New Roman" w:hAnsi="Times New Roman"/>
          <w:sz w:val="28"/>
          <w:szCs w:val="28"/>
        </w:rPr>
        <w:t>безпечність нехарчової продукції» та ст. 14 Закону України «Про надання будівельної продукції на ринку», зокрема:</w:t>
      </w:r>
    </w:p>
    <w:p w:rsidR="00414E3C" w:rsidRDefault="009253E1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Перед наданням будівельної продукції на ринку пересвідчитися в тому, що:</w:t>
      </w:r>
    </w:p>
    <w:p w:rsidR="00414E3C" w:rsidRDefault="009253E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будівельну продукцію нанесено знак відповідності технічним реглам</w:t>
      </w:r>
      <w:r>
        <w:rPr>
          <w:rFonts w:ascii="Times New Roman" w:hAnsi="Times New Roman"/>
          <w:sz w:val="28"/>
          <w:szCs w:val="28"/>
        </w:rPr>
        <w:t>ентам;</w:t>
      </w:r>
    </w:p>
    <w:p w:rsidR="00414E3C" w:rsidRDefault="009253E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продукція супроводжується зрозумілими для користувачів інструкціями та інформацією про безпечність, складеними згідно з вимогами Закону України «Про забезпечення функціонування української мови як державної»;</w:t>
      </w:r>
    </w:p>
    <w:p w:rsidR="00414E3C" w:rsidRDefault="009253E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виробник забезпечив нанесення на будівел</w:t>
      </w:r>
      <w:r>
        <w:rPr>
          <w:rFonts w:ascii="Times New Roman" w:hAnsi="Times New Roman"/>
          <w:sz w:val="28"/>
          <w:szCs w:val="28"/>
        </w:rPr>
        <w:t>ьну продукцію позначення типу, партії або серійного номера чи будь-якого іншого елемента, що дає змогу ідентифікувати таку продукцію, а якщо розмір чи характер будівельної продукції не дає змоги це зробити - забезпечив наведення такої інформації на упаковц</w:t>
      </w:r>
      <w:r>
        <w:rPr>
          <w:rFonts w:ascii="Times New Roman" w:hAnsi="Times New Roman"/>
          <w:sz w:val="28"/>
          <w:szCs w:val="28"/>
        </w:rPr>
        <w:t>і або в супровідному документі;</w:t>
      </w:r>
    </w:p>
    <w:p w:rsidR="00414E3C" w:rsidRDefault="009253E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виробник зазначив на будівельній продукції, а якщо це неможливо - на її упаковці або в супровідному документі своє найменування, зареєстроване комерційне найменування чи зареєстровану торговельну марку та контактну поштову а</w:t>
      </w:r>
      <w:r>
        <w:rPr>
          <w:rFonts w:ascii="Times New Roman" w:hAnsi="Times New Roman"/>
          <w:sz w:val="28"/>
          <w:szCs w:val="28"/>
        </w:rPr>
        <w:t>дресу (</w:t>
      </w:r>
      <w:r>
        <w:rPr>
          <w:rFonts w:ascii="Times New Roman" w:hAnsi="Times New Roman"/>
          <w:i/>
          <w:sz w:val="28"/>
          <w:szCs w:val="28"/>
        </w:rPr>
        <w:t>в адресі має зазначатися єдине місце, за яким можна зв’язатися з виробником</w:t>
      </w:r>
      <w:r>
        <w:rPr>
          <w:rFonts w:ascii="Times New Roman" w:hAnsi="Times New Roman"/>
          <w:sz w:val="28"/>
          <w:szCs w:val="28"/>
        </w:rPr>
        <w:t>).</w:t>
      </w:r>
    </w:p>
    <w:p w:rsidR="00414E3C" w:rsidRDefault="009253E1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Забезпечити, щоб умови зберігання чи транспортування будівельної продукції, доки вона перебуває під його відповідальністю, не ставили під загрозу її відповідність декларац</w:t>
      </w:r>
      <w:r>
        <w:rPr>
          <w:rFonts w:ascii="Times New Roman" w:hAnsi="Times New Roman"/>
          <w:sz w:val="28"/>
          <w:szCs w:val="28"/>
        </w:rPr>
        <w:t>ії показників та іншим застосовним вимогам.</w:t>
      </w:r>
    </w:p>
    <w:p w:rsidR="00414E3C" w:rsidRDefault="009253E1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вважає або має підстави вважати, що будівельна продукція не відповідає декларації показників або іншим застосовним вимогам: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 повинен надавати будівельну продукцію на ринку до приведення її у відповідність із декларацією показників та з іншими застосовними вимогами або до виправлення декларації показників;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пересвідчитися у вжитті коригувальних заходів, необхідних для прив</w:t>
      </w:r>
      <w:r>
        <w:rPr>
          <w:rFonts w:ascii="Times New Roman" w:hAnsi="Times New Roman"/>
          <w:sz w:val="28"/>
          <w:szCs w:val="28"/>
        </w:rPr>
        <w:t>едення такої будівельної продукції у відповідність із зазначеними вимогами, вилучення її з обігу та/або її відкликання (залежно від обставин).</w:t>
      </w:r>
    </w:p>
    <w:p w:rsidR="00414E3C" w:rsidRDefault="009253E1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будівельна продукція становить ризик - повідомити про це виробнику чи імпортеру, а також органу державного </w:t>
      </w:r>
      <w:r>
        <w:rPr>
          <w:rFonts w:ascii="Times New Roman" w:hAnsi="Times New Roman"/>
          <w:sz w:val="28"/>
          <w:szCs w:val="28"/>
        </w:rPr>
        <w:t>ринкового нагляду.</w:t>
      </w:r>
    </w:p>
    <w:p w:rsidR="00414E3C" w:rsidRDefault="009253E1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Надавати споживачам (користувачам), а також виробникам, розповсюджувачам у ланцюгу постачання відповідної продукції інформацію про ризики, які становить ця продукція.</w:t>
      </w:r>
    </w:p>
    <w:p w:rsidR="00414E3C" w:rsidRDefault="009253E1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Співпрацювати (в межах своєї діяльності) з органами державного ринково</w:t>
      </w:r>
      <w:r>
        <w:rPr>
          <w:rFonts w:ascii="Times New Roman" w:hAnsi="Times New Roman"/>
          <w:sz w:val="28"/>
          <w:szCs w:val="28"/>
        </w:rPr>
        <w:t>го нагляду, зокрема:</w:t>
      </w:r>
    </w:p>
    <w:p w:rsidR="00414E3C" w:rsidRDefault="009253E1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стало відомо або має бути відомо на підставі наявної інформації, що продукція, яку розповсюдили, становить ризики для споживачів (користувачів), несумісні із загальною вимогою щодо безпечності продукції, - негайно повідомляти про </w:t>
      </w:r>
      <w:r>
        <w:rPr>
          <w:rFonts w:ascii="Times New Roman" w:hAnsi="Times New Roman"/>
          <w:sz w:val="28"/>
          <w:szCs w:val="28"/>
        </w:rPr>
        <w:t>це відповідний орган державного ринкового нагляду та надавати детальну інформацію, зокрема про невідповідність такої будівельної продукції вимогам декларації показників або іншим застосовним вимогам та про вжиті коригувальні заходи;</w:t>
      </w:r>
    </w:p>
    <w:p w:rsidR="00414E3C" w:rsidRDefault="009253E1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обґрунтований запит </w:t>
      </w:r>
      <w:r>
        <w:rPr>
          <w:rFonts w:ascii="Times New Roman" w:hAnsi="Times New Roman"/>
          <w:sz w:val="28"/>
          <w:szCs w:val="28"/>
        </w:rPr>
        <w:t>органу</w:t>
      </w:r>
      <w:r>
        <w:t xml:space="preserve"> - </w:t>
      </w:r>
      <w:r>
        <w:rPr>
          <w:rFonts w:ascii="Times New Roman" w:hAnsi="Times New Roman"/>
          <w:sz w:val="28"/>
          <w:szCs w:val="28"/>
        </w:rPr>
        <w:t>надавати державною мовою всю інформацію та документацію, необхідні для демонстрування відповідності будівельної продукції декларації показників та іншим застосовним вимогам;</w:t>
      </w:r>
    </w:p>
    <w:p w:rsidR="00414E3C" w:rsidRDefault="009253E1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надавати інформацію, необхідну для відстеження походження відповідної про</w:t>
      </w:r>
      <w:r>
        <w:rPr>
          <w:rFonts w:ascii="Times New Roman" w:hAnsi="Times New Roman"/>
          <w:sz w:val="28"/>
          <w:szCs w:val="28"/>
        </w:rPr>
        <w:t>дукції;</w:t>
      </w:r>
    </w:p>
    <w:p w:rsidR="00414E3C" w:rsidRDefault="009253E1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вимогу органу - співпрацювати з ним щодо вжиття заходів для усунення ризику, що становить будівельна продукція, яку він надає на ринку.</w:t>
      </w:r>
    </w:p>
    <w:p w:rsidR="00414E3C" w:rsidRDefault="009253E1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Співпрацювати з виробниками, зокрема:</w:t>
      </w:r>
    </w:p>
    <w:p w:rsidR="00414E3C" w:rsidRDefault="009253E1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здійсненні заходів щодо уникнення ризиків, які становить продукція;</w:t>
      </w:r>
    </w:p>
    <w:p w:rsidR="00414E3C" w:rsidRDefault="009253E1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прияти у вжитті ними заходів щодо забезпечення безпечності продукції.</w:t>
      </w:r>
    </w:p>
    <w:p w:rsidR="00414E3C" w:rsidRDefault="00414E3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14E3C" w:rsidRDefault="009253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 Які обов’язки у імпортерів?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Обов’язки імпортерів заначено у ст. 13 Закону України «Про надання будівельної продукції на ринку», зокрема:</w:t>
      </w:r>
    </w:p>
    <w:p w:rsidR="00414E3C" w:rsidRDefault="009253E1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Вводити в обіг лише будівельну продукцію, що</w:t>
      </w:r>
      <w:r>
        <w:rPr>
          <w:rFonts w:ascii="Times New Roman" w:hAnsi="Times New Roman"/>
          <w:sz w:val="28"/>
          <w:szCs w:val="28"/>
        </w:rPr>
        <w:t xml:space="preserve"> відповідає застосовним вимогам.</w:t>
      </w:r>
    </w:p>
    <w:p w:rsidR="00414E3C" w:rsidRDefault="009253E1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введенням будівельної продукції в обіг - пересвідчитися в тому, що:</w:t>
      </w:r>
    </w:p>
    <w:p w:rsidR="00414E3C" w:rsidRDefault="009253E1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виробник здійснив оцінку та перевірку стабільності її показників;</w:t>
      </w:r>
    </w:p>
    <w:p w:rsidR="00414E3C" w:rsidRDefault="009253E1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виробник склав технічну документацію, передбачену Законом (</w:t>
      </w:r>
      <w:r>
        <w:rPr>
          <w:rFonts w:ascii="Times New Roman" w:hAnsi="Times New Roman"/>
          <w:i/>
          <w:sz w:val="28"/>
          <w:szCs w:val="28"/>
        </w:rPr>
        <w:t>складається як основа дл</w:t>
      </w:r>
      <w:r>
        <w:rPr>
          <w:rFonts w:ascii="Times New Roman" w:hAnsi="Times New Roman"/>
          <w:i/>
          <w:sz w:val="28"/>
          <w:szCs w:val="28"/>
        </w:rPr>
        <w:t>я декларування показників будівельної продукції, що описує всі відповідні елементи, пов’язані із застосовною системою оцінки та перевірки стабільності показників будівельної продукції</w:t>
      </w:r>
      <w:r>
        <w:rPr>
          <w:rFonts w:ascii="Times New Roman" w:hAnsi="Times New Roman"/>
          <w:sz w:val="28"/>
          <w:szCs w:val="28"/>
        </w:rPr>
        <w:t>) та декларацію показників будівельної продукції відповідно до Закону;</w:t>
      </w:r>
    </w:p>
    <w:p w:rsidR="00414E3C" w:rsidRDefault="009253E1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будівельну продукцію нанесено знак відповідності технічним регламентам;</w:t>
      </w:r>
    </w:p>
    <w:p w:rsidR="00414E3C" w:rsidRDefault="009253E1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продукція супроводжується необхідними документами;</w:t>
      </w:r>
    </w:p>
    <w:p w:rsidR="00414E3C" w:rsidRDefault="009253E1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виробник забезпечив нанесення на будівельну продукцію позначення типу, партії або серійного номера чи будь-якого іншого елемента, що</w:t>
      </w:r>
      <w:r>
        <w:rPr>
          <w:rFonts w:ascii="Times New Roman" w:hAnsi="Times New Roman"/>
          <w:sz w:val="28"/>
          <w:szCs w:val="28"/>
        </w:rPr>
        <w:t xml:space="preserve"> дає змогу ідентифікувати таку продукцію, а якщо розмір чи характер будівельної продукції не дає змоги це зробити - забезпечив наведення такої інформації на упаковці або в супровідному документі;</w:t>
      </w:r>
    </w:p>
    <w:p w:rsidR="00414E3C" w:rsidRDefault="009253E1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виробник зазначив на будівельній продукції, а якщо це неможл</w:t>
      </w:r>
      <w:r>
        <w:rPr>
          <w:rFonts w:ascii="Times New Roman" w:hAnsi="Times New Roman"/>
          <w:sz w:val="28"/>
          <w:szCs w:val="28"/>
        </w:rPr>
        <w:t>иво - на її упаковці або в супровідному документі своє найменування, зареєстроване комерційне найменування чи зареєстровану торговельну марку та контактну поштову адресу (</w:t>
      </w:r>
      <w:r>
        <w:rPr>
          <w:rFonts w:ascii="Times New Roman" w:hAnsi="Times New Roman"/>
          <w:i/>
          <w:sz w:val="28"/>
          <w:szCs w:val="28"/>
        </w:rPr>
        <w:t>в адресі має зазначатися єдине місце, за яким можна зв’язатися з виробником</w:t>
      </w:r>
      <w:r>
        <w:rPr>
          <w:rFonts w:ascii="Times New Roman" w:hAnsi="Times New Roman"/>
          <w:sz w:val="28"/>
          <w:szCs w:val="28"/>
        </w:rPr>
        <w:t>).</w:t>
      </w:r>
    </w:p>
    <w:p w:rsidR="00414E3C" w:rsidRDefault="009253E1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Зазнача</w:t>
      </w:r>
      <w:r>
        <w:rPr>
          <w:rFonts w:ascii="Times New Roman" w:hAnsi="Times New Roman"/>
          <w:sz w:val="28"/>
          <w:szCs w:val="28"/>
        </w:rPr>
        <w:t>ти на будівельній продукції, а якщо це неможливо - на її упаковці або в супровідному документі своє найменування, зареєстроване комерційне найменування чи зареєстровану торговельну марку та контактну поштову адресу.</w:t>
      </w:r>
    </w:p>
    <w:p w:rsidR="00414E3C" w:rsidRDefault="009253E1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наданні будівельної продукції на рин</w:t>
      </w:r>
      <w:r>
        <w:rPr>
          <w:rFonts w:ascii="Times New Roman" w:hAnsi="Times New Roman"/>
          <w:sz w:val="28"/>
          <w:szCs w:val="28"/>
        </w:rPr>
        <w:t>ку забезпечити її супроводження легко зрозумілими для користувачів інструкціями та інформацією про безпечність, складеними із дотриманням вимог Закону України «Про забезпечення функціонування української мови як державної».</w:t>
      </w:r>
    </w:p>
    <w:p w:rsidR="00414E3C" w:rsidRDefault="009253E1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щоб умови зберігання</w:t>
      </w:r>
      <w:r>
        <w:rPr>
          <w:rFonts w:ascii="Times New Roman" w:hAnsi="Times New Roman"/>
          <w:sz w:val="28"/>
          <w:szCs w:val="28"/>
        </w:rPr>
        <w:t xml:space="preserve"> чи транспортування будівельної продукції, доки вона перебуває під його відповідальністю, не ставили під загрозу її відповідність декларації показників та іншим застосовним вимогам.</w:t>
      </w:r>
    </w:p>
    <w:p w:rsidR="00414E3C" w:rsidRDefault="009253E1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визнання доцільності підтвердження точності, надійності та стабільн</w:t>
      </w:r>
      <w:r>
        <w:rPr>
          <w:rFonts w:ascii="Times New Roman" w:hAnsi="Times New Roman"/>
          <w:sz w:val="28"/>
          <w:szCs w:val="28"/>
        </w:rPr>
        <w:t xml:space="preserve">ості задекларованих показників будівельної продукції - проводити випробування зразків будівельної продукції, яка вводиться в обіг або надається на ринку, розглядати скарги та (за потреби) вести облік скарг, невідповідної продукції та її </w:t>
      </w:r>
      <w:proofErr w:type="spellStart"/>
      <w:r>
        <w:rPr>
          <w:rFonts w:ascii="Times New Roman" w:hAnsi="Times New Roman"/>
          <w:sz w:val="28"/>
          <w:szCs w:val="28"/>
        </w:rPr>
        <w:t>відкликань</w:t>
      </w:r>
      <w:proofErr w:type="spellEnd"/>
      <w:r>
        <w:rPr>
          <w:rFonts w:ascii="Times New Roman" w:hAnsi="Times New Roman"/>
          <w:sz w:val="28"/>
          <w:szCs w:val="28"/>
        </w:rPr>
        <w:t>, а також</w:t>
      </w:r>
      <w:r>
        <w:rPr>
          <w:rFonts w:ascii="Times New Roman" w:hAnsi="Times New Roman"/>
          <w:sz w:val="28"/>
          <w:szCs w:val="28"/>
        </w:rPr>
        <w:t xml:space="preserve"> інформувати розповсюджувачів будівельної продукції про поточні результати такого моніторингу.</w:t>
      </w:r>
    </w:p>
    <w:p w:rsidR="00414E3C" w:rsidRDefault="009253E1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вважає або має підстави вважати, що будівельна продукція не відповідає декларації показників або іншим застосовним вимогам:</w:t>
      </w:r>
    </w:p>
    <w:p w:rsidR="00414E3C" w:rsidRDefault="009253E1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вводити її в обіг до приведен</w:t>
      </w:r>
      <w:r>
        <w:rPr>
          <w:rFonts w:ascii="Times New Roman" w:hAnsi="Times New Roman"/>
          <w:sz w:val="28"/>
          <w:szCs w:val="28"/>
        </w:rPr>
        <w:t xml:space="preserve">ня у відповідність із декларацією показників та з іншими застосовними вимогами або до виправлення декларації показників. </w:t>
      </w:r>
    </w:p>
    <w:p w:rsidR="00414E3C" w:rsidRDefault="009253E1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продукція ним вже введена в обіг - негайно вжити коригувальних заходів для приведення такої будівельної продукції у відповідність</w:t>
      </w:r>
      <w:r>
        <w:rPr>
          <w:rFonts w:ascii="Times New Roman" w:hAnsi="Times New Roman"/>
          <w:sz w:val="28"/>
          <w:szCs w:val="28"/>
        </w:rPr>
        <w:t xml:space="preserve"> із зазначеними вимогами, вилучення її з обігу та/або її відкликання (</w:t>
      </w:r>
      <w:r>
        <w:rPr>
          <w:rFonts w:ascii="Times New Roman" w:hAnsi="Times New Roman"/>
          <w:i/>
          <w:sz w:val="28"/>
          <w:szCs w:val="28"/>
        </w:rPr>
        <w:t>залежно від обставин</w:t>
      </w:r>
      <w:r>
        <w:rPr>
          <w:rFonts w:ascii="Times New Roman" w:hAnsi="Times New Roman"/>
          <w:sz w:val="28"/>
          <w:szCs w:val="28"/>
        </w:rPr>
        <w:t>).</w:t>
      </w:r>
    </w:p>
    <w:p w:rsidR="00414E3C" w:rsidRDefault="009253E1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будівельна продукція становить ризик – негайно повідомити про це виробнику та органам державного ринкового нагляду та надати детальну інформацію, зокрема про </w:t>
      </w:r>
      <w:r>
        <w:rPr>
          <w:rFonts w:ascii="Times New Roman" w:hAnsi="Times New Roman"/>
          <w:sz w:val="28"/>
          <w:szCs w:val="28"/>
        </w:rPr>
        <w:t>невідповідність такої будівельної продукції декларації показників або іншим застосовним вимогам та про вжиті коригувальні заходи.</w:t>
      </w:r>
    </w:p>
    <w:p w:rsidR="00414E3C" w:rsidRDefault="009253E1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Зберігати протягом 10 років після введення в обіг продукції копію декларації показників будівельної продукції для надання її н</w:t>
      </w:r>
      <w:r>
        <w:rPr>
          <w:rFonts w:ascii="Times New Roman" w:hAnsi="Times New Roman"/>
          <w:sz w:val="28"/>
          <w:szCs w:val="28"/>
        </w:rPr>
        <w:t>а запит органу державного ринкового нагляду та забезпечувати можливість надання таким органам за їх запитом доступу до технічної документації.</w:t>
      </w:r>
    </w:p>
    <w:p w:rsidR="00414E3C" w:rsidRDefault="009253E1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обґрунтований запит органу державного ринкового нагляду:</w:t>
      </w:r>
    </w:p>
    <w:p w:rsidR="00414E3C" w:rsidRDefault="009253E1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надавати державною мовою всю інформацію та документацію, необхідні для демонстрування відповідності будівельної продукції декларації показників та іншим застосовним вимогам;</w:t>
      </w:r>
    </w:p>
    <w:p w:rsidR="00414E3C" w:rsidRDefault="009253E1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співпрацювати з ним щодо вжиття заходів для усунення ризику, що становить вве</w:t>
      </w:r>
      <w:r>
        <w:rPr>
          <w:rFonts w:ascii="Times New Roman" w:hAnsi="Times New Roman"/>
          <w:sz w:val="28"/>
          <w:szCs w:val="28"/>
        </w:rPr>
        <w:t>дена ним в обіг будівельна продукція.</w:t>
      </w:r>
    </w:p>
    <w:p w:rsidR="00414E3C" w:rsidRDefault="00414E3C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414E3C" w:rsidRDefault="009253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. Який порядок повідомлення про продукцію, яка не відповідає загальній </w:t>
      </w:r>
      <w:proofErr w:type="spellStart"/>
      <w:r>
        <w:rPr>
          <w:rFonts w:ascii="Times New Roman" w:hAnsi="Times New Roman"/>
          <w:b/>
          <w:sz w:val="28"/>
          <w:szCs w:val="28"/>
        </w:rPr>
        <w:t>вимозі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щодо безпечності продукції?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Повідомлення здійснюється відповідно до вимог ст. 10 Закону України «Про загальну безпечність нехарчової </w:t>
      </w:r>
      <w:r>
        <w:rPr>
          <w:rFonts w:ascii="Times New Roman" w:hAnsi="Times New Roman"/>
          <w:sz w:val="28"/>
          <w:szCs w:val="28"/>
        </w:rPr>
        <w:t xml:space="preserve">продукції» та Порядку подання повідомлення про продукцію, яка не відповідає загальній </w:t>
      </w:r>
      <w:proofErr w:type="spellStart"/>
      <w:r>
        <w:rPr>
          <w:rFonts w:ascii="Times New Roman" w:hAnsi="Times New Roman"/>
          <w:sz w:val="28"/>
          <w:szCs w:val="28"/>
        </w:rPr>
        <w:t>вимозі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безпечності продукції, </w:t>
      </w:r>
      <w:r>
        <w:rPr>
          <w:rFonts w:ascii="Times New Roman" w:hAnsi="Times New Roman"/>
          <w:sz w:val="28"/>
          <w:szCs w:val="28"/>
        </w:rPr>
        <w:lastRenderedPageBreak/>
        <w:t>органам державного ринкового нагляду, затвердженого постановою Кабінету Міністрів України від 26.12.2011 № 1401, а саме:</w:t>
      </w:r>
    </w:p>
    <w:p w:rsidR="00414E3C" w:rsidRDefault="009253E1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виробника</w:t>
      </w:r>
      <w:r>
        <w:rPr>
          <w:rFonts w:ascii="Times New Roman" w:hAnsi="Times New Roman"/>
          <w:sz w:val="28"/>
          <w:szCs w:val="28"/>
        </w:rPr>
        <w:t>м або розповсюджувачам продукції стало відомо або повинно бути відомо на підставі наявної в них інформації, що продукція, яку вони ввели в обіг/розповсюдили, становить ризики для споживачів (користувачів), несумісні із загальною вимогою щодо безпечності пр</w:t>
      </w:r>
      <w:r>
        <w:rPr>
          <w:rFonts w:ascii="Times New Roman" w:hAnsi="Times New Roman"/>
          <w:sz w:val="28"/>
          <w:szCs w:val="28"/>
        </w:rPr>
        <w:t>одукції, вони зобов’язані протягом 2 (двох) робочих днів повідомити про це відповідний орган державного ринкового нагляду, в тому числі про вжиті заходи із забезпечення безпечності такої продукції, за формою згідно з додатком до постанови КМУ № 1401. До по</w:t>
      </w:r>
      <w:r>
        <w:rPr>
          <w:rFonts w:ascii="Times New Roman" w:hAnsi="Times New Roman"/>
          <w:sz w:val="28"/>
          <w:szCs w:val="28"/>
        </w:rPr>
        <w:t>відомлення надаються фотографії товару.</w:t>
      </w:r>
    </w:p>
    <w:p w:rsidR="00414E3C" w:rsidRDefault="009253E1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продукція становить серйозний ризик, у такому повідомленні також зазначаються: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відомості, які дають змогу ідентифікувати відповідну продукцію або партію продукції, в тому числі найменування продукції, номер па</w:t>
      </w:r>
      <w:r>
        <w:rPr>
          <w:rFonts w:ascii="Times New Roman" w:hAnsi="Times New Roman"/>
          <w:sz w:val="28"/>
          <w:szCs w:val="28"/>
        </w:rPr>
        <w:t>ртії або серійні номери (за наявності);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повний опис серйозного ризику, що становить відповідна продукція;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інша інформація, необхідна для відстеження походження відповідної продукції та її обігу;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 заходів, вжитих з метою запобігання ризикам, які с</w:t>
      </w:r>
      <w:r>
        <w:rPr>
          <w:rFonts w:ascii="Times New Roman" w:hAnsi="Times New Roman"/>
          <w:sz w:val="28"/>
          <w:szCs w:val="28"/>
        </w:rPr>
        <w:t>тановить така продукція для споживачів (користувачів);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інша інформація про продукцію, яка не відповідає загальній </w:t>
      </w:r>
      <w:proofErr w:type="spellStart"/>
      <w:r>
        <w:rPr>
          <w:rFonts w:ascii="Times New Roman" w:hAnsi="Times New Roman"/>
          <w:sz w:val="28"/>
          <w:szCs w:val="28"/>
        </w:rPr>
        <w:t>вимозі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безпечності продукції.</w:t>
      </w:r>
    </w:p>
    <w:p w:rsidR="00414E3C" w:rsidRDefault="009253E1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подається повідомлення про продукцію, яка не відповідає загальній </w:t>
      </w:r>
      <w:proofErr w:type="spellStart"/>
      <w:r>
        <w:rPr>
          <w:rFonts w:ascii="Times New Roman" w:hAnsi="Times New Roman"/>
          <w:sz w:val="28"/>
          <w:szCs w:val="28"/>
        </w:rPr>
        <w:t>вимозі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безпечності продукції, о</w:t>
      </w:r>
      <w:r>
        <w:rPr>
          <w:rFonts w:ascii="Times New Roman" w:hAnsi="Times New Roman"/>
          <w:sz w:val="28"/>
          <w:szCs w:val="28"/>
        </w:rPr>
        <w:t>рганам державного ринкового нагляду у разі, коли:</w:t>
      </w:r>
    </w:p>
    <w:p w:rsidR="00414E3C" w:rsidRDefault="009253E1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продукцію не поширюється дія Законів України «Про державний ринковий нагляд і контроль нехарчової продукції» та «Про загальну безпечність нехарчової продукції»;</w:t>
      </w:r>
    </w:p>
    <w:p w:rsidR="00414E3C" w:rsidRDefault="009253E1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стосовно продукції існують спеціальні вимо</w:t>
      </w:r>
      <w:r>
        <w:rPr>
          <w:rFonts w:ascii="Times New Roman" w:hAnsi="Times New Roman"/>
          <w:sz w:val="28"/>
          <w:szCs w:val="28"/>
        </w:rPr>
        <w:t>ги щодо надання повідомлень в інших нормативно-правових актах;</w:t>
      </w:r>
    </w:p>
    <w:p w:rsidR="00414E3C" w:rsidRDefault="009253E1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виробник (розповсюджувач) вжив усіх коригувальних заходів щодо всіх відповідних одиниць продукції та вилучив їх з обігу;</w:t>
      </w:r>
    </w:p>
    <w:p w:rsidR="00414E3C" w:rsidRDefault="009253E1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стосується якості продукції, а не її безпечності;</w:t>
      </w:r>
    </w:p>
    <w:p w:rsidR="00414E3C" w:rsidRDefault="009253E1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виробнику (ро</w:t>
      </w:r>
      <w:r>
        <w:rPr>
          <w:rFonts w:ascii="Times New Roman" w:hAnsi="Times New Roman"/>
          <w:sz w:val="28"/>
          <w:szCs w:val="28"/>
        </w:rPr>
        <w:t>зповсюджувачу) відомо, що відповідні органи ринкового нагляду вже були поінформовані, у тому числі іншими суб’єктами господарювання, та володіють усією необхідною інформацією.</w:t>
      </w:r>
    </w:p>
    <w:p w:rsidR="00414E3C" w:rsidRDefault="00414E3C">
      <w:pPr>
        <w:jc w:val="both"/>
        <w:rPr>
          <w:rFonts w:ascii="Times New Roman" w:hAnsi="Times New Roman"/>
          <w:sz w:val="28"/>
          <w:szCs w:val="28"/>
        </w:rPr>
      </w:pPr>
    </w:p>
    <w:p w:rsidR="00414E3C" w:rsidRDefault="009253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 Чи передбачено відповідальність суб’єктів господарювання у сфері державного</w:t>
      </w:r>
      <w:r>
        <w:rPr>
          <w:rFonts w:ascii="Times New Roman" w:hAnsi="Times New Roman"/>
          <w:b/>
          <w:sz w:val="28"/>
          <w:szCs w:val="28"/>
        </w:rPr>
        <w:t xml:space="preserve"> ринкового нагляду?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до суб’єктів господарювання застосовуються адміністративно-господарські санкції відповідно до ст. 44 Закону України «Про державний ринковий нагляд і контроль нехарчової продукції» та ст. 15 Закону України «Про </w:t>
      </w:r>
      <w:r>
        <w:rPr>
          <w:rFonts w:ascii="Times New Roman" w:hAnsi="Times New Roman"/>
          <w:sz w:val="28"/>
          <w:szCs w:val="28"/>
        </w:rPr>
        <w:lastRenderedPageBreak/>
        <w:t xml:space="preserve">загальну безпечність </w:t>
      </w:r>
      <w:r>
        <w:rPr>
          <w:rFonts w:ascii="Times New Roman" w:hAnsi="Times New Roman"/>
          <w:sz w:val="28"/>
          <w:szCs w:val="28"/>
        </w:rPr>
        <w:t>нехарчової продукції», а також адміністративна відповідальність відповідно до ст. 188</w:t>
      </w:r>
      <w:r>
        <w:rPr>
          <w:rFonts w:ascii="Times New Roman" w:hAnsi="Times New Roman"/>
          <w:sz w:val="28"/>
          <w:szCs w:val="28"/>
          <w:vertAlign w:val="superscript"/>
        </w:rPr>
        <w:t>37</w:t>
      </w:r>
      <w:r>
        <w:rPr>
          <w:rFonts w:ascii="Times New Roman" w:hAnsi="Times New Roman"/>
          <w:sz w:val="28"/>
          <w:szCs w:val="28"/>
        </w:rPr>
        <w:t xml:space="preserve"> Кодексу України про адміністративні правопорушення.</w:t>
      </w:r>
    </w:p>
    <w:p w:rsidR="00414E3C" w:rsidRDefault="00414E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Ст. 44 Закону України «Про державний ринковий нагляд і контроль нехарчової продукції»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u w:val="single"/>
        </w:rPr>
        <w:t>ст. 15 Закону України «Про</w:t>
      </w:r>
      <w:r>
        <w:rPr>
          <w:rFonts w:ascii="Times New Roman" w:hAnsi="Times New Roman"/>
          <w:sz w:val="28"/>
          <w:szCs w:val="28"/>
          <w:u w:val="single"/>
        </w:rPr>
        <w:t xml:space="preserve"> загальну безпечність нехарчової продукції»</w:t>
      </w:r>
      <w:r>
        <w:rPr>
          <w:rFonts w:ascii="Times New Roman" w:hAnsi="Times New Roman"/>
          <w:sz w:val="28"/>
          <w:szCs w:val="28"/>
        </w:rPr>
        <w:t xml:space="preserve"> передбачено такі адміністративно-господарські санкції:</w:t>
      </w:r>
    </w:p>
    <w:p w:rsidR="00414E3C" w:rsidRDefault="00414E3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 особи, яка ввела продукцію в обіг або відповідно до Закону вважається такою, що ввела продукцію в обіг, в разі: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введення в обіг продукції, що стано</w:t>
      </w:r>
      <w:r>
        <w:rPr>
          <w:rFonts w:ascii="Times New Roman" w:hAnsi="Times New Roman"/>
          <w:sz w:val="28"/>
          <w:szCs w:val="28"/>
        </w:rPr>
        <w:t>вить серйозний ризик, - у розмірі шести тисяч неоподатковуваних мінімумів доходів громадян, а за повторне протягом періоду від одного року до трьох років вчинення такого самого порушення, за яке на особу вже було накладено штраф, - у розмірі двадцяти тисяч</w:t>
      </w:r>
      <w:r>
        <w:rPr>
          <w:rFonts w:ascii="Times New Roman" w:hAnsi="Times New Roman"/>
          <w:sz w:val="28"/>
          <w:szCs w:val="28"/>
        </w:rPr>
        <w:t xml:space="preserve"> неоподатковуваних мінімумів доходів громадян;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введення в обіг продукції, яка не відповідає встановленим вимогам (</w:t>
      </w:r>
      <w:r>
        <w:rPr>
          <w:rFonts w:ascii="Times New Roman" w:hAnsi="Times New Roman"/>
          <w:i/>
          <w:sz w:val="28"/>
          <w:szCs w:val="28"/>
        </w:rPr>
        <w:t>крім випадків, передбачених статтею 28 та частиною третьою статті 29 цього Закону</w:t>
      </w:r>
      <w:r>
        <w:rPr>
          <w:rFonts w:ascii="Times New Roman" w:hAnsi="Times New Roman"/>
          <w:sz w:val="28"/>
          <w:szCs w:val="28"/>
        </w:rPr>
        <w:t>), - у розмірі трьох тисяч неоподатковуваних мінімумів дох</w:t>
      </w:r>
      <w:r>
        <w:rPr>
          <w:rFonts w:ascii="Times New Roman" w:hAnsi="Times New Roman"/>
          <w:sz w:val="28"/>
          <w:szCs w:val="28"/>
        </w:rPr>
        <w:t>одів громадян, а за повторне протягом періоду від одного року до трьох років вчинення такого самого порушення, за яке на особу вже було накладено штраф, - у розмірі шести тисяч неоподатковуваних мінімумів доходів громадян.</w:t>
      </w:r>
    </w:p>
    <w:p w:rsidR="00414E3C" w:rsidRDefault="00414E3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 виробника: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введення в о</w:t>
      </w:r>
      <w:r>
        <w:rPr>
          <w:rFonts w:ascii="Times New Roman" w:hAnsi="Times New Roman"/>
          <w:sz w:val="28"/>
          <w:szCs w:val="28"/>
        </w:rPr>
        <w:t>біг небезпечної нехарчової продукції - у розмірі шести тисяч неоподатковуваних мінімумів доходів громадян, а за повторне протягом трьох років вчинення такого самого порушення, за яке на нього вже було накладено штраф, - у розмірі двадцяти тисяч неоподатков</w:t>
      </w:r>
      <w:r>
        <w:rPr>
          <w:rFonts w:ascii="Times New Roman" w:hAnsi="Times New Roman"/>
          <w:sz w:val="28"/>
          <w:szCs w:val="28"/>
        </w:rPr>
        <w:t>уваних мінімумів доходів громадян;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надання (в межах своєї діяльності) споживачам (користувачам) інформації, яка дає їм можливість оцінювати ризики, притаманні продукції протягом звичайного або обґрунтовано передбачуваного строку її використання, якщо</w:t>
      </w:r>
      <w:r>
        <w:rPr>
          <w:rFonts w:ascii="Times New Roman" w:hAnsi="Times New Roman"/>
          <w:sz w:val="28"/>
          <w:szCs w:val="28"/>
        </w:rPr>
        <w:t xml:space="preserve"> такі ризики є не відразу очевидними, без належних попереджень, та яка дає змогу споживачам (користувачам) вживати запобіжних заходів щодо таких ризиків, - у розмірі трьох тисяч неоподатковуваних мінімумів доходів громадян, а за повторне протягом трьох рок</w:t>
      </w:r>
      <w:r>
        <w:rPr>
          <w:rFonts w:ascii="Times New Roman" w:hAnsi="Times New Roman"/>
          <w:sz w:val="28"/>
          <w:szCs w:val="28"/>
        </w:rPr>
        <w:t>ів вчинення такого самого порушення, за яке на нього вже накладено штраф, - у розмірі шести тисяч неоподатковуваних мінімумів доходів громадян.</w:t>
      </w:r>
    </w:p>
    <w:p w:rsidR="00414E3C" w:rsidRDefault="00414E3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 розповсюджувача: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недодержання умов зберігання продукції, яка ним розповсюджується, якщо внаслідок цього п</w:t>
      </w:r>
      <w:r>
        <w:rPr>
          <w:rFonts w:ascii="Times New Roman" w:hAnsi="Times New Roman"/>
          <w:sz w:val="28"/>
          <w:szCs w:val="28"/>
        </w:rPr>
        <w:t xml:space="preserve">родукція стала небезпечною та/або такою, що не відповідає встановленим вимогам, - у розмірі двох тисяч неоподатковуваних мінімумів доходів громадян, а за повторне протягом трьох років вчинення такого самого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порушення, за яке на суб’єкта господарювання вже </w:t>
      </w:r>
      <w:r>
        <w:rPr>
          <w:rFonts w:ascii="Times New Roman" w:hAnsi="Times New Roman"/>
          <w:sz w:val="28"/>
          <w:szCs w:val="28"/>
        </w:rPr>
        <w:t>накладено штраф, - у розмірі чотирьох тисяч неоподатковуваних мінімумів доходів громадян.</w:t>
      </w:r>
    </w:p>
    <w:p w:rsidR="00414E3C" w:rsidRDefault="00414E3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 суб’єкта господарювання в разі: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невиконання або неповного виконання вимог рішення про вжиття обмежувальних (корегувальних) заходів, - у розмірі від двох тис</w:t>
      </w:r>
      <w:r>
        <w:rPr>
          <w:rFonts w:ascii="Times New Roman" w:hAnsi="Times New Roman"/>
          <w:sz w:val="28"/>
          <w:szCs w:val="28"/>
        </w:rPr>
        <w:t xml:space="preserve">яч до десяти тисяч неоподатковуваних мінімумів доходів громадян для осіб, які ввели продукцію в обіг або відповідно до цього Закону вважаються такими, що ввели продукцію в обіг, та у розмірі від двох тисяч до семи тисяч неоподатковуваних мінімумів доходів </w:t>
      </w:r>
      <w:r>
        <w:rPr>
          <w:rFonts w:ascii="Times New Roman" w:hAnsi="Times New Roman"/>
          <w:sz w:val="28"/>
          <w:szCs w:val="28"/>
        </w:rPr>
        <w:t>громадян для розповсюджувачів;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невиконання припису про негайне усунення порушень вимог щодо представлення за місцем проведення ярмарку, виставки, показу чи демонстрації в інший спосіб продукції, що не відповідає встановленим вимогам, - у розмірі однієї </w:t>
      </w:r>
      <w:r>
        <w:rPr>
          <w:rFonts w:ascii="Times New Roman" w:hAnsi="Times New Roman"/>
          <w:sz w:val="28"/>
          <w:szCs w:val="28"/>
        </w:rPr>
        <w:t>тисячі неоподатковуваних мінімумів доходів громадян, а за невиконання вимог рішення про негайне припинення представлення продукції за місцем проведення ярмарку, виставки, показу чи демонстрації в інший спосіб продукції - у розмірі двох тисяч неоподатковува</w:t>
      </w:r>
      <w:r>
        <w:rPr>
          <w:rFonts w:ascii="Times New Roman" w:hAnsi="Times New Roman"/>
          <w:sz w:val="28"/>
          <w:szCs w:val="28"/>
        </w:rPr>
        <w:t>них мінімумів доходів громадян;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створення перешкод шляхом недопущення до проведення перевірок характеристик продукції та невиконання встановлених цим Законом вимог посадових осіб, які здійснюють ринковий нагляд, - у розмірі десяти тисяч неоподатковувани</w:t>
      </w:r>
      <w:r>
        <w:rPr>
          <w:rFonts w:ascii="Times New Roman" w:hAnsi="Times New Roman"/>
          <w:sz w:val="28"/>
          <w:szCs w:val="28"/>
        </w:rPr>
        <w:t>х мінімумів доходів громадян.</w:t>
      </w:r>
    </w:p>
    <w:p w:rsidR="00414E3C" w:rsidRDefault="009253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Адміністративно-господарські санкції накладаються за кожну модель, артикул чи партію продукції, яка є небезпечною, становить ризик та/або не відповідає встановленим вимогам, незалежно від кількості одиниць такої продукції та/а</w:t>
      </w:r>
      <w:r>
        <w:rPr>
          <w:rFonts w:ascii="Times New Roman" w:hAnsi="Times New Roman"/>
          <w:sz w:val="28"/>
          <w:szCs w:val="28"/>
        </w:rPr>
        <w:t>бо місць її реалізації.</w:t>
      </w:r>
    </w:p>
    <w:p w:rsidR="00414E3C" w:rsidRDefault="00414E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E3C" w:rsidRDefault="009253E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Ст. 188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37</w:t>
      </w:r>
      <w:r>
        <w:rPr>
          <w:rFonts w:ascii="Times New Roman" w:hAnsi="Times New Roman"/>
          <w:sz w:val="28"/>
          <w:szCs w:val="28"/>
          <w:u w:val="single"/>
        </w:rPr>
        <w:t xml:space="preserve"> Кодексу України про адміністративні правопорушення </w:t>
      </w:r>
      <w:r>
        <w:rPr>
          <w:rFonts w:ascii="Times New Roman" w:hAnsi="Times New Roman"/>
          <w:sz w:val="28"/>
          <w:szCs w:val="28"/>
        </w:rPr>
        <w:t xml:space="preserve">передбачено за невиконання законних вимог посадових осіб органів ринкового нагляду та їх територіальних органів щодо проведення перевірки, ненадання їм передбаченої </w:t>
      </w:r>
      <w:r>
        <w:rPr>
          <w:rFonts w:ascii="Times New Roman" w:hAnsi="Times New Roman"/>
          <w:sz w:val="28"/>
          <w:szCs w:val="28"/>
        </w:rPr>
        <w:t>законодавством інформації чи надання недостовірної інформації, створення інших перешкод для виконання покладених на них обов'язків - накладення штрафу від десяти до двадцяти неоподатковуваних мінімумів доходів громадян.</w:t>
      </w:r>
    </w:p>
    <w:p w:rsidR="00414E3C" w:rsidRDefault="00414E3C">
      <w:pPr>
        <w:jc w:val="both"/>
        <w:rPr>
          <w:rFonts w:ascii="Times New Roman" w:hAnsi="Times New Roman"/>
          <w:b/>
          <w:sz w:val="28"/>
          <w:szCs w:val="28"/>
        </w:rPr>
      </w:pPr>
    </w:p>
    <w:p w:rsidR="00414E3C" w:rsidRDefault="00414E3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14E3C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1A6"/>
    <w:multiLevelType w:val="hybridMultilevel"/>
    <w:tmpl w:val="8006F7EE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" w15:restartNumberingAfterBreak="0">
    <w:nsid w:val="06633AC9"/>
    <w:multiLevelType w:val="hybridMultilevel"/>
    <w:tmpl w:val="8C8E84DA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" w15:restartNumberingAfterBreak="0">
    <w:nsid w:val="094B2FCC"/>
    <w:multiLevelType w:val="hybridMultilevel"/>
    <w:tmpl w:val="748A3D0E"/>
    <w:lvl w:ilvl="0" w:tplc="1C040AA2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7B0CBD"/>
    <w:multiLevelType w:val="hybridMultilevel"/>
    <w:tmpl w:val="1FDEF8FE"/>
    <w:lvl w:ilvl="0" w:tplc="548632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4509A5"/>
    <w:multiLevelType w:val="hybridMultilevel"/>
    <w:tmpl w:val="511ACA1E"/>
    <w:lvl w:ilvl="0" w:tplc="1C040AA2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006DDB"/>
    <w:multiLevelType w:val="hybridMultilevel"/>
    <w:tmpl w:val="5D9A5F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1DEB694A"/>
    <w:multiLevelType w:val="hybridMultilevel"/>
    <w:tmpl w:val="F7C285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0353F3B"/>
    <w:multiLevelType w:val="hybridMultilevel"/>
    <w:tmpl w:val="CE60C14A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8" w15:restartNumberingAfterBreak="0">
    <w:nsid w:val="275D487E"/>
    <w:multiLevelType w:val="hybridMultilevel"/>
    <w:tmpl w:val="367CAB6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A7F0FDA"/>
    <w:multiLevelType w:val="hybridMultilevel"/>
    <w:tmpl w:val="E5244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744A"/>
    <w:multiLevelType w:val="hybridMultilevel"/>
    <w:tmpl w:val="9B0CA070"/>
    <w:lvl w:ilvl="0" w:tplc="1C040AA2">
      <w:start w:val="8"/>
      <w:numFmt w:val="bullet"/>
      <w:lvlText w:val="-"/>
      <w:lvlJc w:val="left"/>
      <w:pPr>
        <w:ind w:left="180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FDC51F8"/>
    <w:multiLevelType w:val="hybridMultilevel"/>
    <w:tmpl w:val="9EB6578E"/>
    <w:lvl w:ilvl="0" w:tplc="1C040AA2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884695D"/>
    <w:multiLevelType w:val="hybridMultilevel"/>
    <w:tmpl w:val="078A8B06"/>
    <w:lvl w:ilvl="0" w:tplc="1C040AA2">
      <w:start w:val="8"/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3" w15:restartNumberingAfterBreak="0">
    <w:nsid w:val="3CD56575"/>
    <w:multiLevelType w:val="hybridMultilevel"/>
    <w:tmpl w:val="68DE9212"/>
    <w:lvl w:ilvl="0" w:tplc="1C040AA2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E74223A"/>
    <w:multiLevelType w:val="hybridMultilevel"/>
    <w:tmpl w:val="585E877E"/>
    <w:lvl w:ilvl="0" w:tplc="1C040AA2">
      <w:start w:val="8"/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5" w15:restartNumberingAfterBreak="0">
    <w:nsid w:val="474848EE"/>
    <w:multiLevelType w:val="hybridMultilevel"/>
    <w:tmpl w:val="1B329A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4A16787"/>
    <w:multiLevelType w:val="hybridMultilevel"/>
    <w:tmpl w:val="76D66B68"/>
    <w:lvl w:ilvl="0" w:tplc="1C040AA2">
      <w:start w:val="8"/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7" w15:restartNumberingAfterBreak="0">
    <w:nsid w:val="60BE30E5"/>
    <w:multiLevelType w:val="hybridMultilevel"/>
    <w:tmpl w:val="87C8A4F4"/>
    <w:lvl w:ilvl="0" w:tplc="1C040AA2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1D14E99"/>
    <w:multiLevelType w:val="hybridMultilevel"/>
    <w:tmpl w:val="3FDA0DD2"/>
    <w:lvl w:ilvl="0" w:tplc="1C040AA2">
      <w:start w:val="8"/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9" w15:restartNumberingAfterBreak="0">
    <w:nsid w:val="6A311BF7"/>
    <w:multiLevelType w:val="hybridMultilevel"/>
    <w:tmpl w:val="5FFCBFE0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0" w15:restartNumberingAfterBreak="0">
    <w:nsid w:val="749974A5"/>
    <w:multiLevelType w:val="hybridMultilevel"/>
    <w:tmpl w:val="CDE41B72"/>
    <w:lvl w:ilvl="0" w:tplc="04220001">
      <w:start w:val="1"/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512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72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832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5"/>
  </w:num>
  <w:num w:numId="5">
    <w:abstractNumId w:val="19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18"/>
  </w:num>
  <w:num w:numId="12">
    <w:abstractNumId w:val="1"/>
  </w:num>
  <w:num w:numId="13">
    <w:abstractNumId w:val="0"/>
  </w:num>
  <w:num w:numId="14">
    <w:abstractNumId w:val="2"/>
  </w:num>
  <w:num w:numId="15">
    <w:abstractNumId w:val="11"/>
  </w:num>
  <w:num w:numId="16">
    <w:abstractNumId w:val="17"/>
  </w:num>
  <w:num w:numId="17">
    <w:abstractNumId w:val="13"/>
  </w:num>
  <w:num w:numId="18">
    <w:abstractNumId w:val="8"/>
  </w:num>
  <w:num w:numId="19">
    <w:abstractNumId w:val="10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3C"/>
    <w:rsid w:val="00414E3C"/>
    <w:rsid w:val="0092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53E4"/>
  <w15:docId w15:val="{707123C1-7A33-4A37-886A-A76B4508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 w:themeColor="hyperlink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minregion.gov.ua/wp-content/uploads/2022/06/nakaz-8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region.gov.ua/wp-content/uploads/2022/02/nakaz-54.pdf?__cf_chl_tk=kCje4It1EhBryjSYxwunUmb5V0caTFjz_.A8iVjETrs-1668432242-0-gaNycGzNC70" TargetMode="External"/><Relationship Id="rId5" Type="http://schemas.openxmlformats.org/officeDocument/2006/relationships/hyperlink" Target="https://www.minregion.gov.ua/napryamki-diyalnosti/building/tech-reg/normuvannia/perelik-natsionalnih-standartiv-yaki-v-razi-dobrovilnogo-zastosuvannya-ye-dokazom-vidpovidnosti-produktsiyi-vimogam-tehnichnogo-reglamentu-budivelnih-virobiv-budivel-i-sporu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24416</Words>
  <Characters>13918</Characters>
  <Application>Microsoft Office Word</Application>
  <DocSecurity>0</DocSecurity>
  <Lines>115</Lines>
  <Paragraphs>76</Paragraphs>
  <ScaleCrop>false</ScaleCrop>
  <Company/>
  <LinksUpToDate>false</LinksUpToDate>
  <CharactersWithSpaces>38258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 Олена Олексіївна</dc:creator>
  <cp:lastModifiedBy>Манько Олена Олексіївна</cp:lastModifiedBy>
  <cp:revision>19</cp:revision>
  <dcterms:created xsi:type="dcterms:W3CDTF">2022-11-11T07:15:00Z</dcterms:created>
  <dcterms:modified xsi:type="dcterms:W3CDTF">2022-11-25T11:39:00Z</dcterms:modified>
</cp:coreProperties>
</file>