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1B619" w14:textId="68921999" w:rsidR="00F26D2E" w:rsidRPr="00CD2A4A" w:rsidRDefault="00F26D2E" w:rsidP="00F26D2E">
      <w:pPr>
        <w:spacing w:after="0" w:line="240" w:lineRule="auto"/>
        <w:jc w:val="right"/>
        <w:rPr>
          <w:rFonts w:ascii="Times New Roman" w:hAnsi="Times New Roman"/>
          <w:sz w:val="28"/>
          <w:szCs w:val="28"/>
          <w:lang w:val="uk-UA"/>
        </w:rPr>
      </w:pPr>
      <w:bookmarkStart w:id="0" w:name="_GoBack"/>
      <w:bookmarkEnd w:id="0"/>
      <w:r w:rsidRPr="00CD2A4A">
        <w:rPr>
          <w:rFonts w:ascii="Times New Roman" w:hAnsi="Times New Roman"/>
          <w:sz w:val="28"/>
          <w:szCs w:val="28"/>
          <w:lang w:val="uk-UA"/>
        </w:rPr>
        <w:t>ПРОЄКТ</w:t>
      </w:r>
    </w:p>
    <w:p w14:paraId="5373C708" w14:textId="77777777" w:rsidR="00F26D2E" w:rsidRPr="00F26D2E" w:rsidRDefault="00F26D2E" w:rsidP="00CD2A4A">
      <w:pPr>
        <w:spacing w:after="0" w:line="240" w:lineRule="auto"/>
        <w:ind w:firstLine="5812"/>
        <w:rPr>
          <w:rFonts w:ascii="Times New Roman" w:hAnsi="Times New Roman"/>
          <w:sz w:val="28"/>
          <w:szCs w:val="28"/>
          <w:lang w:val="uk-UA"/>
        </w:rPr>
      </w:pPr>
      <w:r w:rsidRPr="00F26D2E">
        <w:rPr>
          <w:rFonts w:ascii="Times New Roman" w:hAnsi="Times New Roman"/>
          <w:sz w:val="28"/>
          <w:szCs w:val="28"/>
          <w:lang w:val="uk-UA"/>
        </w:rPr>
        <w:t>Вноситься</w:t>
      </w:r>
    </w:p>
    <w:p w14:paraId="1BA7519B" w14:textId="77777777" w:rsidR="00F26D2E" w:rsidRPr="00F26D2E" w:rsidRDefault="00F26D2E" w:rsidP="00F26D2E">
      <w:pPr>
        <w:spacing w:after="0" w:line="240" w:lineRule="auto"/>
        <w:jc w:val="right"/>
        <w:rPr>
          <w:rFonts w:ascii="Times New Roman" w:hAnsi="Times New Roman"/>
          <w:sz w:val="28"/>
          <w:szCs w:val="28"/>
          <w:lang w:val="uk-UA"/>
        </w:rPr>
      </w:pPr>
      <w:r w:rsidRPr="00F26D2E">
        <w:rPr>
          <w:rFonts w:ascii="Times New Roman" w:hAnsi="Times New Roman"/>
          <w:sz w:val="28"/>
          <w:szCs w:val="28"/>
          <w:lang w:val="uk-UA"/>
        </w:rPr>
        <w:t>Кабінетом Міністрів України</w:t>
      </w:r>
    </w:p>
    <w:p w14:paraId="7CF256A9" w14:textId="1A1749F7" w:rsidR="00F26D2E" w:rsidRPr="00F26D2E" w:rsidRDefault="003071A9" w:rsidP="00F26D2E">
      <w:pPr>
        <w:spacing w:after="0" w:line="240" w:lineRule="auto"/>
        <w:jc w:val="right"/>
        <w:rPr>
          <w:rFonts w:ascii="Times New Roman" w:hAnsi="Times New Roman"/>
          <w:sz w:val="28"/>
          <w:szCs w:val="28"/>
          <w:lang w:val="uk-UA"/>
        </w:rPr>
      </w:pPr>
      <w:r>
        <w:rPr>
          <w:rFonts w:ascii="Times New Roman" w:hAnsi="Times New Roman"/>
          <w:sz w:val="28"/>
          <w:szCs w:val="28"/>
          <w:lang w:val="uk-UA"/>
        </w:rPr>
        <w:t>С</w:t>
      </w:r>
      <w:r w:rsidR="00F26D2E" w:rsidRPr="00F26D2E">
        <w:rPr>
          <w:rFonts w:ascii="Times New Roman" w:hAnsi="Times New Roman"/>
          <w:sz w:val="28"/>
          <w:szCs w:val="28"/>
          <w:lang w:val="uk-UA"/>
        </w:rPr>
        <w:t>.</w:t>
      </w:r>
      <w:r>
        <w:rPr>
          <w:rFonts w:ascii="Times New Roman" w:hAnsi="Times New Roman"/>
          <w:sz w:val="28"/>
          <w:szCs w:val="28"/>
          <w:lang w:val="uk-UA"/>
        </w:rPr>
        <w:t>КОРЕЦЬКИЙ</w:t>
      </w:r>
    </w:p>
    <w:p w14:paraId="77F389CD" w14:textId="6CAF06F5" w:rsidR="00F26D2E" w:rsidRPr="00F26D2E" w:rsidRDefault="00F26D2E" w:rsidP="00F26D2E">
      <w:pPr>
        <w:spacing w:after="0" w:line="240" w:lineRule="auto"/>
        <w:jc w:val="right"/>
        <w:rPr>
          <w:rFonts w:ascii="Times New Roman" w:hAnsi="Times New Roman"/>
          <w:sz w:val="28"/>
          <w:szCs w:val="28"/>
          <w:lang w:val="uk-UA"/>
        </w:rPr>
      </w:pPr>
      <w:r w:rsidRPr="00F26D2E">
        <w:rPr>
          <w:rFonts w:ascii="Times New Roman" w:hAnsi="Times New Roman"/>
          <w:sz w:val="28"/>
          <w:szCs w:val="28"/>
          <w:lang w:val="uk-UA"/>
        </w:rPr>
        <w:t xml:space="preserve">« </w:t>
      </w:r>
      <w:r w:rsidR="003071A9">
        <w:rPr>
          <w:rFonts w:ascii="Times New Roman" w:hAnsi="Times New Roman"/>
          <w:sz w:val="28"/>
          <w:szCs w:val="28"/>
          <w:lang w:val="uk-UA"/>
        </w:rPr>
        <w:t xml:space="preserve">  </w:t>
      </w:r>
      <w:r w:rsidRPr="00F26D2E">
        <w:rPr>
          <w:rFonts w:ascii="Times New Roman" w:hAnsi="Times New Roman"/>
          <w:sz w:val="28"/>
          <w:szCs w:val="28"/>
          <w:lang w:val="uk-UA"/>
        </w:rPr>
        <w:t xml:space="preserve">» </w:t>
      </w:r>
      <w:r>
        <w:rPr>
          <w:rFonts w:ascii="Times New Roman" w:hAnsi="Times New Roman"/>
          <w:sz w:val="28"/>
          <w:szCs w:val="28"/>
          <w:lang w:val="uk-UA"/>
        </w:rPr>
        <w:t xml:space="preserve">        </w:t>
      </w:r>
      <w:r w:rsidRPr="00F26D2E">
        <w:rPr>
          <w:rFonts w:ascii="Times New Roman" w:hAnsi="Times New Roman"/>
          <w:sz w:val="28"/>
          <w:szCs w:val="28"/>
          <w:lang w:val="uk-UA"/>
        </w:rPr>
        <w:t>2026 р.</w:t>
      </w:r>
    </w:p>
    <w:p w14:paraId="4AA61E6B" w14:textId="2B763121" w:rsidR="00803666" w:rsidRDefault="00F26D2E" w:rsidP="00F26D2E">
      <w:pPr>
        <w:spacing w:after="480" w:line="240" w:lineRule="auto"/>
        <w:jc w:val="center"/>
        <w:rPr>
          <w:rFonts w:ascii="Times New Roman" w:hAnsi="Times New Roman"/>
          <w:sz w:val="28"/>
          <w:szCs w:val="28"/>
          <w:lang w:val="uk-UA"/>
        </w:rPr>
      </w:pPr>
      <w:r w:rsidRPr="00F26D2E">
        <w:rPr>
          <w:rFonts w:ascii="Times New Roman" w:hAnsi="Times New Roman"/>
          <w:noProof/>
          <w:sz w:val="28"/>
          <w:szCs w:val="28"/>
          <w:lang w:val="uk-UA" w:eastAsia="uk-UA"/>
        </w:rPr>
        <w:drawing>
          <wp:inline distT="0" distB="0" distL="0" distR="0" wp14:anchorId="1E52B3A0" wp14:editId="42C6AB24">
            <wp:extent cx="571500" cy="762000"/>
            <wp:effectExtent l="0" t="0" r="0" b="0"/>
            <wp:docPr id="6231404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14:paraId="61E9B8E6" w14:textId="77777777" w:rsidR="00803666" w:rsidRDefault="00252DCB">
      <w:pPr>
        <w:keepNext/>
        <w:spacing w:after="240" w:line="240" w:lineRule="auto"/>
        <w:jc w:val="center"/>
        <w:rPr>
          <w:rFonts w:ascii="Times New Roman" w:hAnsi="Times New Roman"/>
          <w:sz w:val="28"/>
          <w:szCs w:val="28"/>
          <w:lang w:val="uk-UA"/>
        </w:rPr>
      </w:pPr>
      <w:r>
        <w:rPr>
          <w:rFonts w:ascii="Times New Roman" w:hAnsi="Times New Roman"/>
          <w:b/>
          <w:sz w:val="28"/>
          <w:szCs w:val="28"/>
          <w:lang w:val="uk-UA"/>
        </w:rPr>
        <w:t>ЗАКОН УКРАЇНИ</w:t>
      </w:r>
    </w:p>
    <w:p w14:paraId="5E673B13" w14:textId="77777777" w:rsidR="00803666" w:rsidRDefault="00252DCB">
      <w:pPr>
        <w:keepNext/>
        <w:spacing w:after="360" w:line="240" w:lineRule="auto"/>
        <w:jc w:val="center"/>
        <w:rPr>
          <w:rFonts w:ascii="Times New Roman" w:hAnsi="Times New Roman"/>
          <w:sz w:val="28"/>
          <w:szCs w:val="28"/>
          <w:lang w:val="uk-UA"/>
        </w:rPr>
      </w:pPr>
      <w:r>
        <w:rPr>
          <w:rFonts w:ascii="Times New Roman" w:hAnsi="Times New Roman"/>
          <w:b/>
          <w:sz w:val="28"/>
          <w:szCs w:val="28"/>
          <w:lang w:val="uk-UA"/>
        </w:rPr>
        <w:t>Про внесення деяких змін до Закону України «Про регулювання містобудівної діяльності» щодо визначення строків оскарження дозвільних документів</w:t>
      </w:r>
    </w:p>
    <w:p w14:paraId="39523AD8"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Верховна Рада України </w:t>
      </w:r>
      <w:r>
        <w:rPr>
          <w:rFonts w:ascii="Times New Roman" w:hAnsi="Times New Roman"/>
          <w:b/>
          <w:sz w:val="28"/>
          <w:szCs w:val="28"/>
          <w:lang w:val="uk-UA"/>
        </w:rPr>
        <w:t>постановляє</w:t>
      </w:r>
      <w:r>
        <w:rPr>
          <w:rFonts w:ascii="Times New Roman" w:hAnsi="Times New Roman"/>
          <w:sz w:val="28"/>
          <w:szCs w:val="28"/>
          <w:lang w:val="uk-UA"/>
        </w:rPr>
        <w:t>:</w:t>
      </w:r>
    </w:p>
    <w:p w14:paraId="22A83C60"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I. Внести до Закону України «Про регулювання містобудівної діяльності» (Відомості Верховної Ради України, 2011 р., № 34, ст. 343 із наступними змінами) такі зміни:</w:t>
      </w:r>
    </w:p>
    <w:p w14:paraId="2B20E26D"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1. Частину восьму статті 29 доповнити абзацами сьомим – дев’ятим такого змісту:</w:t>
      </w:r>
    </w:p>
    <w:p w14:paraId="279B483D"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«Позов про скасування містобудівних умов та обмежень може бути подано протягом шести місяців з дати отримання права на виконання будівельних робіт.</w:t>
      </w:r>
    </w:p>
    <w:p w14:paraId="0B2F216F"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У разі внесення змін до містобудівних умов та обмежень після отримання права на виконання будівельних робіт, строк звернення до суду з позовом про скасування цих містобудівних умов та обмежень становить шість місяців з дати реєстрації повідомлення про коригування проектної документації.</w:t>
      </w:r>
    </w:p>
    <w:p w14:paraId="2A224790"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Строк звернення до суду з позовом про скасування містобудівних умов та обмежень не може бути поновлено».</w:t>
      </w:r>
    </w:p>
    <w:p w14:paraId="0020278C"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2. Статтю 34 доповнити частиною восьмою такого змісту:</w:t>
      </w:r>
    </w:p>
    <w:p w14:paraId="6C99DD3B"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«8. Позов про припинення права на виконання будівельних робіт, у тому числі про скасування документів, що надають таке право, може бути подано протягом шести місяців з дати отримання права на виконання будівельних робіт.</w:t>
      </w:r>
    </w:p>
    <w:p w14:paraId="65C90330"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У разі коригування проектної документації у зв’язку з отриманням нових містобудівних умов та обмежень забудови земельної ділянки, строк звернення до суду з позовом про припинення права на виконання будівельних робіт становить шість місяців з дати реєстрації в Реєстрі будівельної діяльності повідомлення про таке коригування.</w:t>
      </w:r>
    </w:p>
    <w:p w14:paraId="6B8C4018"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Строк звернення до суду з позовом про припинення права на виконання будівельних робіт не може бути поновлено.</w:t>
      </w:r>
    </w:p>
    <w:p w14:paraId="7E83DBFD"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У разі виявлення в межах строку звернення до суду з позовом про припинення права на виконання будівельних робіт відповідним органом державного архітектурно-будівельного контролю за результатами перевірки порушення вимог законодавства у сфері містобудівної діяльності, будівельних норм і правил, строк, передбачений частиною восьмою цієї статті, зупиняється  до моменту усунення такого порушення, визначеного у приписі про усунення порушення вимог законодавства у сфері містобудівної діяльності, будівельних норм і правил, крім випадків передбачених цим Законом.</w:t>
      </w:r>
    </w:p>
    <w:p w14:paraId="239B821B"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Строк, передбачений цією частиною, застосовується за умови повідомлення відповідного органу державного архітектурно-будівельного контролю через електронну систему про огородження будівельного майданчика та/або розміщення на будівельному майданчику в доступному для огляду місці стенду з інформацією, передбаченою частиною шостою цієї статті. Таке повідомлення подається не пізніше ніж через один місяць з дня набуття права на виконання будівельних робіт. </w:t>
      </w:r>
    </w:p>
    <w:p w14:paraId="1FDB0FC4"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Строк, передбачений цією частиною, не застосовується щодо випадків виявлення факту самочинного будівництва об’єкта.».</w:t>
      </w:r>
    </w:p>
    <w:p w14:paraId="31F89065"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3. Пункт 3 частини шостої статті 37 викласти в такій редакції:</w:t>
      </w:r>
    </w:p>
    <w:p w14:paraId="27C84364"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«3) на підставі судового рішення, що набрало законної сили, про припинення права на виконання будівельних робіт».</w:t>
      </w:r>
    </w:p>
    <w:p w14:paraId="48CE1EDB"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4. У статті 39:</w:t>
      </w:r>
    </w:p>
    <w:p w14:paraId="268294FF"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1) доповнити після частини третьої новою частиною 3</w:t>
      </w:r>
      <w:r>
        <w:rPr>
          <w:rFonts w:ascii="Times New Roman" w:hAnsi="Times New Roman"/>
          <w:sz w:val="28"/>
          <w:szCs w:val="28"/>
          <w:vertAlign w:val="superscript"/>
          <w:lang w:val="uk-UA"/>
        </w:rPr>
        <w:t>1</w:t>
      </w:r>
      <w:r>
        <w:rPr>
          <w:rFonts w:ascii="Times New Roman" w:hAnsi="Times New Roman"/>
          <w:sz w:val="28"/>
          <w:szCs w:val="28"/>
          <w:lang w:val="uk-UA"/>
        </w:rPr>
        <w:t xml:space="preserve"> такого змісту:</w:t>
      </w:r>
    </w:p>
    <w:p w14:paraId="7A9AC184"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vertAlign w:val="superscript"/>
          <w:lang w:val="uk-UA"/>
        </w:rPr>
        <w:t>1</w:t>
      </w:r>
      <w:r>
        <w:rPr>
          <w:rFonts w:ascii="Times New Roman" w:hAnsi="Times New Roman"/>
          <w:sz w:val="28"/>
          <w:szCs w:val="28"/>
          <w:lang w:val="uk-UA"/>
        </w:rPr>
        <w:t>. Закінчений будівництвом об’єкт не може бути прийнятий в експлуатацію до моменту усунення порушення, визначеного у приписі про усунення порушення вимог законодавства у сфері містобудівної діяльності, будівельних норм і правил, крім випадків передбачених цим Законом</w:t>
      </w:r>
      <w:r>
        <w:rPr>
          <w:rFonts w:ascii="Times New Roman" w:hAnsi="Times New Roman"/>
          <w:sz w:val="28"/>
          <w:lang w:val="uk-UA"/>
        </w:rPr>
        <w:t>.</w:t>
      </w:r>
    </w:p>
    <w:p w14:paraId="1DFEDEB7"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Зупинення дії припису про усунення порушення вимог законодавства у сфері містобудівної діяльності, будівельних норм і правил не є підставою для прийняття в експлуатацію закінченого будівництвом об’єкта»;</w:t>
      </w:r>
    </w:p>
    <w:p w14:paraId="55B2CC66"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2) доповнити частиною чотирнадцятою такого змісту:</w:t>
      </w:r>
    </w:p>
    <w:p w14:paraId="47584E8E"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«14. Позов про скасування сертифіката або реєстрації декларації про готовність об’єкта до експлуатації може бути подано протягом трьох місяців з дати оприлюднення таких документів на порталі електронної системи.</w:t>
      </w:r>
    </w:p>
    <w:p w14:paraId="21CA6DD6"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Сертифікат може бути скасовано лише з підстав недотримання замовниками, проектувальниками, підрядниками та експертними організаціями законодавства у сфері містобудівної діяльності, будівельних норм і правил під час виконання будівельних робіт щодо міцності та надійності об’єкта, що несе реальні ризики загрози життю та здоров’ю людей, національній безпеці, навколишньому природному середовищу.</w:t>
      </w:r>
    </w:p>
    <w:p w14:paraId="6DE472D2"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Реєстрація декларації про готовність об’єкта до експлуатації може бути скасована лише з підстав, передбачених статтею 39</w:t>
      </w:r>
      <w:r>
        <w:rPr>
          <w:rFonts w:ascii="Times New Roman" w:hAnsi="Times New Roman"/>
          <w:sz w:val="28"/>
          <w:szCs w:val="28"/>
          <w:vertAlign w:val="superscript"/>
          <w:lang w:val="uk-UA"/>
        </w:rPr>
        <w:t>1</w:t>
      </w:r>
      <w:r>
        <w:rPr>
          <w:rFonts w:ascii="Times New Roman" w:hAnsi="Times New Roman"/>
          <w:sz w:val="28"/>
          <w:szCs w:val="28"/>
          <w:lang w:val="uk-UA"/>
        </w:rPr>
        <w:t xml:space="preserve"> цього Закону».</w:t>
      </w:r>
    </w:p>
    <w:p w14:paraId="7015D873"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5. Абзац перший частини другої статті 39</w:t>
      </w:r>
      <w:r>
        <w:rPr>
          <w:rFonts w:ascii="Times New Roman" w:hAnsi="Times New Roman"/>
          <w:sz w:val="28"/>
          <w:szCs w:val="28"/>
          <w:vertAlign w:val="superscript"/>
          <w:lang w:val="uk-UA"/>
        </w:rPr>
        <w:t>1</w:t>
      </w:r>
      <w:r>
        <w:rPr>
          <w:rFonts w:ascii="Times New Roman" w:hAnsi="Times New Roman"/>
          <w:sz w:val="28"/>
          <w:szCs w:val="28"/>
          <w:lang w:val="uk-UA"/>
        </w:rPr>
        <w:t xml:space="preserve"> викласти в такій редакції:</w:t>
      </w:r>
    </w:p>
    <w:p w14:paraId="111D9EDA"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«2. У разі виявлення відповідним органом державного архітектурно-будівельного контролю факту подання недостовірних даних, наведених у надісланому повідомленні чи зареєстрованій декларації, які є підставою вважати об'єкт самочинним будівництвом, зокрема, якщо він збудований або будується на земельній ділянці, що не була відведена для цієї мети, або без відповідного документа, який дає право виконувати будівельні роботи, чи без належно затвердженого проекту або будівельного паспорта, а також у разі встановлення істотного відхилення від проекту, що несе реальні ризики загрози життю та здоров’ю людей, якщо проведення перебудови є неможливим або особа, яка здійснила (здійснює) будівництво, відмовляється від її проведення, відповідний орган державного архітектурно-будівельного контролю звертається до адміністративного суду із позовом про скасування реєстрації такої декларації або про припинення права на виконання підготовчих або будівельних робіт, набутого на підставі поданого повідомлення</w:t>
      </w:r>
      <w:r>
        <w:rPr>
          <w:rFonts w:ascii="Times New Roman" w:hAnsi="Times New Roman"/>
          <w:color w:val="333333"/>
          <w:sz w:val="28"/>
          <w:szCs w:val="28"/>
          <w:shd w:val="clear" w:color="auto" w:fill="FFFFFF"/>
          <w:lang w:val="uk-UA"/>
        </w:rPr>
        <w:t>.</w:t>
      </w:r>
      <w:r>
        <w:rPr>
          <w:rFonts w:ascii="Times New Roman" w:hAnsi="Times New Roman"/>
          <w:sz w:val="28"/>
          <w:szCs w:val="28"/>
          <w:lang w:val="uk-UA"/>
        </w:rPr>
        <w:t>».</w:t>
      </w:r>
    </w:p>
    <w:p w14:paraId="3863DA67"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6. У частині першій статті 41:</w:t>
      </w:r>
    </w:p>
    <w:p w14:paraId="69BE66A6"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1) після абзацу п’ятнадцятого доповнити трьома новими абзацами такого змісту:</w:t>
      </w:r>
    </w:p>
    <w:p w14:paraId="4874E836"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«Перевірка виконання суб’єктом містобудування вимог приписів органів державного архітектурно-будівельного контролю проводиться не пізніше одного місяця з дня закінчення встановленого строку для усунення виявлених порушень.</w:t>
      </w:r>
    </w:p>
    <w:p w14:paraId="47FD4DC3"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Зазначений строк за клопотанням суб’єкта містобудування може бути одноразово продовжений, але не більше ніж на один календарний місяць.</w:t>
      </w:r>
    </w:p>
    <w:p w14:paraId="5B9D0C21"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Непроведення перевірки виконання суб’єктом містобудування вимог приписів у строки, визначені абзацами шістнадцятим та сімнадцятим цієї частини, має наслідком відновлення перебігу строків звернення органів державного архітектурно-будівельного контролю до адміністративного суду, зупинених відповідно до частини восьмої статті 34 цього Закону».</w:t>
      </w:r>
    </w:p>
    <w:p w14:paraId="32E7231C"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 зв’язку з цим абзаци шістнадцятий – дев’ятнадцятий вважати відповідно абзацами дев’ятнадцятим – двадцять другим;</w:t>
      </w:r>
    </w:p>
    <w:p w14:paraId="683AA9D5"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2) абзаци двадцятий і двадцять перший викласти в такій редакції:</w:t>
      </w:r>
    </w:p>
    <w:p w14:paraId="2D924737"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«У разі систематичного (два і більше разів підряд) перешкоджання проведенню перевірки посадовим особам органу державного архітектурно-будівельного контролю, а також невиконання вимог приписів посадових осіб органів державного архітектурно-будівельного контролю щодо усунення порушень законодавства у сфері містобудівної діяльності, встановлених під час перевірки, а саме: порушень вимог містобудівної документації, містобудівних умов та обмежень, проектної документації на будівництво об’єкта, будівельних норм і правил, а також в інших випадках, визначених цим Законом, відповідний орган державного архітектурно-будівельного контролю в межах строку, визначеного цим Законом, звертається до адміністративного суду із позовом про припинення права на виконання підготовчих або будівельних робіт. Позов про припинення права на виконання підготовчих або будівельних робіт може бути подано органом державного архітектурно-будівельного контролю протягом двох місяців з дати виявлення факту невиконання вимог приписів посадових осіб органів державного архітектурно-будівельного контролю щодо усунення порушень законодавства у сфері містобудівної діяльності, будівельних норм і правил, з урахуванням вимог, передбачених частиною восьмою статті 34 цього Закону.</w:t>
      </w:r>
    </w:p>
    <w:p w14:paraId="5FC2E5F7"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Непроведення перевірки або неподання органом державного архітектурно-будівельного контролю позову до адміністративного суду про припинення права на виконання підготовчих або будівельних робіт протягом зазначених у цій частині строків або постановлення судом ухвали про відмову у відкритті провадження у справі, про залишення позову (заяви) без розгляду, є підставою для відновлення виконання підготовчих та/або будівельних робіт (крім випадків, якщо підготовчі та/або будівельні роботи зупинені через ненабуття права на їх виконання) та прийняття в експлуатацію закінченого будівництвом об’єкта (крім випадків проведення перевірки після спливу строку подання позову до адміністративного суду про припинення права на виконання будівельних робіт, передбаченого частиною восьмою статті 34 цього Закону)».</w:t>
      </w:r>
    </w:p>
    <w:p w14:paraId="52FD1E87"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У зв’язку з цим абзац двадцять другий вважати абзацом двадцять третім.</w:t>
      </w:r>
    </w:p>
    <w:p w14:paraId="53890D2A"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7. У частині четвертій статті 41</w:t>
      </w:r>
      <w:r>
        <w:rPr>
          <w:rFonts w:ascii="Times New Roman" w:hAnsi="Times New Roman"/>
          <w:sz w:val="28"/>
          <w:szCs w:val="28"/>
          <w:vertAlign w:val="superscript"/>
          <w:lang w:val="uk-UA"/>
        </w:rPr>
        <w:t>1</w:t>
      </w:r>
      <w:r>
        <w:rPr>
          <w:rFonts w:ascii="Times New Roman" w:hAnsi="Times New Roman"/>
          <w:sz w:val="28"/>
          <w:szCs w:val="28"/>
          <w:lang w:val="uk-UA"/>
        </w:rPr>
        <w:t>:</w:t>
      </w:r>
    </w:p>
    <w:p w14:paraId="4BCAE238"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1) після абзацу дев’ятого доповнити новим абзацом такого змісту:</w:t>
      </w:r>
    </w:p>
    <w:p w14:paraId="41554FA4"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«Головні інспектори будівельного нагляду можуть звертатися до адміністративного суду з позовами про скасування рішень, прийнятих об’єктами нагляду, протягом строків, передбачених цим Законом, але не пізніше двох місяців з дати виявлення порушень вимог законодавства у сфері містобудівної діяльності».</w:t>
      </w:r>
    </w:p>
    <w:p w14:paraId="00DD237E"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У зв’язку з цим абзаци десятий – п’ятнадцятий вважати відповідно абзацами одинадцятим – шістнадцятим;</w:t>
      </w:r>
    </w:p>
    <w:p w14:paraId="3EA7553E"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2) абзац одинадцятий викласти в такій редакції:</w:t>
      </w:r>
    </w:p>
    <w:p w14:paraId="347DF568"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«Неподання органом державного архітектурно-будівельного контролю та нагляду позову до адміністративного суду про скасування рішення, прийнятого об’єктом нагляду, протягом строку, передбаченого цим Законом, або постановлення адміністративним судом ухвали про відмову у відкритті провадження у справі, про залишення позову без розгляду, має наслідком відновлення дії рішення, прийнятого об’єктом нагляду, та відновлення права на виконання підготовчих та/або будівельних робіт».</w:t>
      </w:r>
    </w:p>
    <w:p w14:paraId="5F3C5977" w14:textId="77777777" w:rsidR="00803666" w:rsidRDefault="00252DCB">
      <w:pPr>
        <w:keepNext/>
        <w:spacing w:after="120" w:line="240" w:lineRule="auto"/>
        <w:jc w:val="center"/>
        <w:rPr>
          <w:rFonts w:ascii="Times New Roman" w:hAnsi="Times New Roman"/>
          <w:sz w:val="28"/>
          <w:szCs w:val="28"/>
          <w:lang w:val="uk-UA"/>
        </w:rPr>
      </w:pPr>
      <w:r>
        <w:rPr>
          <w:rFonts w:ascii="Times New Roman" w:hAnsi="Times New Roman"/>
          <w:b/>
          <w:sz w:val="28"/>
          <w:szCs w:val="28"/>
          <w:lang w:val="uk-UA"/>
        </w:rPr>
        <w:t>II. Прикінцеві та перехідні положення</w:t>
      </w:r>
    </w:p>
    <w:p w14:paraId="29411D66"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1. Цей Закон набирає чинності через один місяць з дня його опублікування.</w:t>
      </w:r>
    </w:p>
    <w:p w14:paraId="42118C80"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2. Перевірка виконання суб’єктом містобудування вимог приписів органів державного архітектурно-будівельного контролю, виданих до набрання чинності цим Законом, проводиться не пізніше одного місяця з дня набрання чинності цим Законом.</w:t>
      </w:r>
    </w:p>
    <w:p w14:paraId="3647D80D"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3. Строк звернення до адміністративного суду з позовами про скасування містобудівних умов та обмежень забудови земельної ділянки, документів, що дають право на виконання будівельних робіт, а також документів про прийняття в експлуатацію закінчених будівництвом об’єктів, що оприлюднені на порталі Єдиної державної електронної системи у сфері будівництва або відомості про які оприлюднені на такому порталі до дня набрання чинності цим Законом, становить шість місяців та обчислюється з дати набрання чинності цим Законом, якщо не встановлено інше.</w:t>
      </w:r>
    </w:p>
    <w:p w14:paraId="7D38447C"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Якщо на день набрання чинності цим Законом строк звернення до адміністративного суду, визначений статтею 122 Кодексу адміністративного судочинства України, сплив, такий строк вважається пропущеним. Набрання чинності цим Законом не є підставою для поновлення строку на звернення до адміністративного суду.</w:t>
      </w:r>
    </w:p>
    <w:p w14:paraId="72A83A1C" w14:textId="77777777" w:rsidR="00803666" w:rsidRDefault="00252DCB">
      <w:pPr>
        <w:spacing w:after="60" w:line="240" w:lineRule="auto"/>
        <w:ind w:firstLine="709"/>
        <w:jc w:val="both"/>
        <w:rPr>
          <w:rFonts w:ascii="Times New Roman" w:hAnsi="Times New Roman"/>
          <w:sz w:val="28"/>
          <w:szCs w:val="28"/>
          <w:lang w:val="uk-UA"/>
        </w:rPr>
      </w:pPr>
      <w:r>
        <w:rPr>
          <w:rFonts w:ascii="Times New Roman" w:hAnsi="Times New Roman"/>
          <w:sz w:val="28"/>
          <w:szCs w:val="28"/>
          <w:lang w:val="uk-UA"/>
        </w:rPr>
        <w:t>4. Положення цього Закону в частині визначення строків звернення до суду з позовом про скасування документів або про припинення права на виконання будівельних робіт не застосовуються до документів, відомості про які не підлягають оприлюдненню на порталі Єдиної державної електронної системи у сфері будівництва.</w:t>
      </w:r>
    </w:p>
    <w:p w14:paraId="3ACA481F" w14:textId="77777777" w:rsidR="00803666" w:rsidRDefault="00803666">
      <w:pPr>
        <w:spacing w:after="240" w:line="240" w:lineRule="auto"/>
        <w:jc w:val="both"/>
        <w:rPr>
          <w:rFonts w:ascii="Times New Roman" w:hAnsi="Times New Roman"/>
          <w:sz w:val="28"/>
          <w:szCs w:val="28"/>
          <w:lang w:val="uk-UA"/>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701"/>
        <w:gridCol w:w="4655"/>
      </w:tblGrid>
      <w:tr w:rsidR="00803666" w14:paraId="0BAF21BB" w14:textId="77777777">
        <w:tc>
          <w:tcPr>
            <w:tcW w:w="4819" w:type="dxa"/>
          </w:tcPr>
          <w:p w14:paraId="7D3DA227" w14:textId="77777777" w:rsidR="00803666" w:rsidRDefault="00252DCB">
            <w:pPr>
              <w:spacing w:after="0" w:line="240" w:lineRule="auto"/>
              <w:jc w:val="center"/>
              <w:rPr>
                <w:rFonts w:ascii="Times New Roman" w:hAnsi="Times New Roman"/>
                <w:b/>
                <w:bCs/>
                <w:sz w:val="28"/>
                <w:szCs w:val="28"/>
                <w:lang w:val="uk-UA"/>
              </w:rPr>
            </w:pPr>
            <w:r>
              <w:rPr>
                <w:rFonts w:ascii="Times New Roman" w:hAnsi="Times New Roman"/>
                <w:b/>
                <w:bCs/>
                <w:sz w:val="28"/>
                <w:szCs w:val="28"/>
              </w:rPr>
              <w:t>Голова</w:t>
            </w:r>
          </w:p>
          <w:p w14:paraId="4082AAA7" w14:textId="77777777" w:rsidR="00803666" w:rsidRDefault="00252DCB">
            <w:pPr>
              <w:spacing w:after="0" w:line="240" w:lineRule="auto"/>
              <w:jc w:val="center"/>
              <w:rPr>
                <w:rFonts w:ascii="Times New Roman" w:hAnsi="Times New Roman"/>
                <w:sz w:val="28"/>
                <w:szCs w:val="28"/>
                <w:lang w:val="uk-UA"/>
              </w:rPr>
            </w:pPr>
            <w:r>
              <w:rPr>
                <w:rFonts w:ascii="Times New Roman" w:hAnsi="Times New Roman"/>
                <w:b/>
                <w:bCs/>
                <w:sz w:val="28"/>
                <w:szCs w:val="28"/>
              </w:rPr>
              <w:t>Верховної Ради України</w:t>
            </w:r>
          </w:p>
        </w:tc>
        <w:tc>
          <w:tcPr>
            <w:tcW w:w="4819" w:type="dxa"/>
          </w:tcPr>
          <w:p w14:paraId="6FD9A580" w14:textId="77777777" w:rsidR="00803666" w:rsidRDefault="00803666">
            <w:pPr>
              <w:spacing w:after="0" w:line="240" w:lineRule="auto"/>
              <w:jc w:val="right"/>
              <w:rPr>
                <w:rFonts w:ascii="Times New Roman" w:hAnsi="Times New Roman"/>
                <w:sz w:val="28"/>
                <w:szCs w:val="28"/>
                <w:lang w:val="uk-UA"/>
              </w:rPr>
            </w:pPr>
          </w:p>
        </w:tc>
      </w:tr>
    </w:tbl>
    <w:p w14:paraId="58ADAAB8" w14:textId="77777777" w:rsidR="00803666" w:rsidRDefault="00803666">
      <w:pPr>
        <w:rPr>
          <w:rFonts w:ascii="Times New Roman" w:hAnsi="Times New Roman"/>
          <w:sz w:val="28"/>
          <w:szCs w:val="28"/>
          <w:lang w:val="uk-UA"/>
        </w:rPr>
      </w:pPr>
    </w:p>
    <w:sectPr w:rsidR="00803666">
      <w:headerReference w:type="even" r:id="rId9"/>
      <w:headerReference w:type="default" r:id="rId10"/>
      <w:footerReference w:type="even" r:id="rId11"/>
      <w:footerReference w:type="default" r:id="rId12"/>
      <w:headerReference w:type="first" r:id="rId13"/>
      <w:footerReference w:type="first" r:id="rId14"/>
      <w:pgSz w:w="11906" w:h="16838"/>
      <w:pgMar w:top="1134" w:right="849"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7DFC7" w14:textId="77777777" w:rsidR="00ED75C0" w:rsidRDefault="00ED75C0">
      <w:pPr>
        <w:spacing w:after="0" w:line="240" w:lineRule="auto"/>
      </w:pPr>
    </w:p>
  </w:endnote>
  <w:endnote w:type="continuationSeparator" w:id="0">
    <w:p w14:paraId="4229D63A" w14:textId="77777777" w:rsidR="00ED75C0" w:rsidRDefault="00ED7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D2FBD" w14:textId="77777777" w:rsidR="00F26D2E" w:rsidRDefault="00F26D2E">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58804" w14:textId="77777777" w:rsidR="00F26D2E" w:rsidRDefault="00F26D2E">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0045F" w14:textId="77777777" w:rsidR="00803666" w:rsidRDefault="00803666">
    <w:pPr>
      <w:rPr>
        <w:lang w:val="uk-UA"/>
      </w:rPr>
    </w:pPr>
  </w:p>
  <w:p w14:paraId="09CA609A" w14:textId="77777777" w:rsidR="00F26D2E" w:rsidRDefault="00F26D2E">
    <w:pPr>
      <w:rPr>
        <w:lang w:val="uk-UA"/>
      </w:rPr>
    </w:pPr>
  </w:p>
  <w:p w14:paraId="00B35D2B" w14:textId="77777777" w:rsidR="00F26D2E" w:rsidRDefault="00F26D2E">
    <w:pPr>
      <w:rPr>
        <w:lang w:val="uk-UA"/>
      </w:rPr>
    </w:pPr>
  </w:p>
  <w:p w14:paraId="228497D4" w14:textId="77777777" w:rsidR="00F26D2E" w:rsidRDefault="00F26D2E">
    <w:pPr>
      <w:rPr>
        <w:lang w:val="uk-UA"/>
      </w:rPr>
    </w:pPr>
  </w:p>
  <w:p w14:paraId="3D5EBB68" w14:textId="77777777" w:rsidR="00F26D2E" w:rsidRPr="00F26D2E" w:rsidRDefault="00F26D2E">
    <w:pPr>
      <w:rPr>
        <w:lang w:val="uk-UA"/>
      </w:rPr>
    </w:pPr>
  </w:p>
  <w:p w14:paraId="7D349476" w14:textId="77777777" w:rsidR="00803666" w:rsidRDefault="00803666"/>
  <w:p w14:paraId="65307EE8" w14:textId="77777777" w:rsidR="00803666" w:rsidRDefault="0080366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7BD3D" w14:textId="77777777" w:rsidR="00ED75C0" w:rsidRDefault="00ED75C0">
      <w:pPr>
        <w:spacing w:after="0" w:line="240" w:lineRule="auto"/>
      </w:pPr>
    </w:p>
  </w:footnote>
  <w:footnote w:type="continuationSeparator" w:id="0">
    <w:p w14:paraId="5AF59054" w14:textId="77777777" w:rsidR="00ED75C0" w:rsidRDefault="00ED75C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B680A" w14:textId="77777777" w:rsidR="00F26D2E" w:rsidRDefault="00F26D2E">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689F3" w14:textId="7321A815" w:rsidR="00803666" w:rsidRDefault="00252DCB">
    <w:pPr>
      <w:pStyle w:val="a5"/>
      <w:jc w:val="center"/>
    </w:pPr>
    <w:r>
      <w:fldChar w:fldCharType="begin"/>
    </w:r>
    <w:r>
      <w:instrText>PAGE   \* MERGEFORMAT</w:instrText>
    </w:r>
    <w:r>
      <w:fldChar w:fldCharType="separate"/>
    </w:r>
    <w:r w:rsidR="00641DB9" w:rsidRPr="00641DB9">
      <w:rPr>
        <w:noProof/>
        <w:lang w:val="uk-UA"/>
      </w:rPr>
      <w:t>5</w:t>
    </w:r>
    <w:r>
      <w:fldChar w:fldCharType="end"/>
    </w:r>
  </w:p>
  <w:p w14:paraId="6DB6DE08" w14:textId="77777777" w:rsidR="00803666" w:rsidRDefault="00803666">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543AF" w14:textId="77777777" w:rsidR="00F26D2E" w:rsidRDefault="00F26D2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0A0834FA"/>
    <w:lvl w:ilvl="0">
      <w:start w:val="1"/>
      <w:numFmt w:val="decimal"/>
      <w:lvlText w:val="%1."/>
      <w:lvlJc w:val="left"/>
      <w:pPr>
        <w:tabs>
          <w:tab w:val="num" w:pos="1800"/>
        </w:tabs>
        <w:ind w:left="180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FFFFFF7D"/>
    <w:multiLevelType w:val="multilevel"/>
    <w:tmpl w:val="C75C9D90"/>
    <w:lvl w:ilvl="0">
      <w:start w:val="1"/>
      <w:numFmt w:val="decimal"/>
      <w:lvlText w:val="%1."/>
      <w:lvlJc w:val="left"/>
      <w:pPr>
        <w:tabs>
          <w:tab w:val="num" w:pos="1440"/>
        </w:tabs>
        <w:ind w:left="144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FFFFFF7E"/>
    <w:multiLevelType w:val="multilevel"/>
    <w:tmpl w:val="F808E94A"/>
    <w:lvl w:ilvl="0">
      <w:start w:val="1"/>
      <w:numFmt w:val="decimal"/>
      <w:pStyle w:val="3"/>
      <w:lvlText w:val="%1."/>
      <w:lvlJc w:val="left"/>
      <w:pPr>
        <w:tabs>
          <w:tab w:val="num" w:pos="1080"/>
        </w:tabs>
        <w:ind w:left="108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FFFFFF7F"/>
    <w:multiLevelType w:val="multilevel"/>
    <w:tmpl w:val="AA62244A"/>
    <w:lvl w:ilvl="0">
      <w:start w:val="1"/>
      <w:numFmt w:val="decimal"/>
      <w:pStyle w:val="2"/>
      <w:lvlText w:val="%1."/>
      <w:lvlJc w:val="left"/>
      <w:pPr>
        <w:tabs>
          <w:tab w:val="num" w:pos="720"/>
        </w:tabs>
        <w:ind w:left="72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FFFFFF81"/>
    <w:multiLevelType w:val="multilevel"/>
    <w:tmpl w:val="86D87204"/>
    <w:lvl w:ilvl="0">
      <w:start w:val="1"/>
      <w:numFmt w:val="bullet"/>
      <w:lvlText w:val=""/>
      <w:lvlJc w:val="left"/>
      <w:pPr>
        <w:tabs>
          <w:tab w:val="num" w:pos="1440"/>
        </w:tabs>
        <w:ind w:left="144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15:restartNumberingAfterBreak="0">
    <w:nsid w:val="FFFFFF82"/>
    <w:multiLevelType w:val="multilevel"/>
    <w:tmpl w:val="68D404E8"/>
    <w:lvl w:ilvl="0">
      <w:start w:val="1"/>
      <w:numFmt w:val="bullet"/>
      <w:pStyle w:val="30"/>
      <w:lvlText w:val=""/>
      <w:lvlJc w:val="left"/>
      <w:pPr>
        <w:tabs>
          <w:tab w:val="num" w:pos="1080"/>
        </w:tabs>
        <w:ind w:left="108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FFFFFF83"/>
    <w:multiLevelType w:val="multilevel"/>
    <w:tmpl w:val="F56AA22A"/>
    <w:lvl w:ilvl="0">
      <w:start w:val="1"/>
      <w:numFmt w:val="bullet"/>
      <w:pStyle w:val="20"/>
      <w:lvlText w:val=""/>
      <w:lvlJc w:val="left"/>
      <w:pPr>
        <w:tabs>
          <w:tab w:val="num" w:pos="720"/>
        </w:tabs>
        <w:ind w:left="72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FFFFFF88"/>
    <w:multiLevelType w:val="multilevel"/>
    <w:tmpl w:val="DCA07BE8"/>
    <w:lvl w:ilvl="0">
      <w:start w:val="1"/>
      <w:numFmt w:val="decimal"/>
      <w:pStyle w:val="a"/>
      <w:lvlText w:val="%1."/>
      <w:lvlJc w:val="left"/>
      <w:pPr>
        <w:tabs>
          <w:tab w:val="num"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8" w15:restartNumberingAfterBreak="0">
    <w:nsid w:val="FFFFFF89"/>
    <w:multiLevelType w:val="multilevel"/>
    <w:tmpl w:val="7D6C21EA"/>
    <w:lvl w:ilvl="0">
      <w:start w:val="1"/>
      <w:numFmt w:val="bullet"/>
      <w:pStyle w:val="a0"/>
      <w:lvlText w:val=""/>
      <w:lvlJc w:val="left"/>
      <w:pPr>
        <w:tabs>
          <w:tab w:val="num"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66"/>
    <w:rsid w:val="00252DCB"/>
    <w:rsid w:val="003071A9"/>
    <w:rsid w:val="00641DB9"/>
    <w:rsid w:val="00803666"/>
    <w:rsid w:val="00A61E6F"/>
    <w:rsid w:val="00C517F6"/>
    <w:rsid w:val="00CD2A4A"/>
    <w:rsid w:val="00E3488A"/>
    <w:rsid w:val="00ED75C0"/>
    <w:rsid w:val="00F26D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BAE5"/>
  <w15:docId w15:val="{C6CA1ECB-462F-4927-A5BF-F7C2D366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Arial" w:hAnsi="Arial"/>
      <w:sz w:val="24"/>
    </w:rPr>
  </w:style>
  <w:style w:type="paragraph" w:styleId="1">
    <w:name w:val="heading 1"/>
    <w:basedOn w:val="a1"/>
    <w:next w:val="a1"/>
    <w:link w:val="10"/>
    <w:uiPriority w:val="9"/>
    <w:qFormat/>
    <w:pPr>
      <w:keepNext/>
      <w:keepLines/>
      <w:spacing w:before="480" w:after="0"/>
      <w:outlineLvl w:val="0"/>
    </w:pPr>
    <w:rPr>
      <w:b/>
      <w:bCs/>
      <w:color w:val="365F91" w:themeColor="accent1" w:themeShade="BF"/>
      <w:sz w:val="28"/>
      <w:szCs w:val="28"/>
    </w:rPr>
  </w:style>
  <w:style w:type="paragraph" w:styleId="21">
    <w:name w:val="heading 2"/>
    <w:basedOn w:val="a1"/>
    <w:next w:val="a1"/>
    <w:link w:val="22"/>
    <w:uiPriority w:val="9"/>
    <w:semiHidden/>
    <w:unhideWhenUsed/>
    <w:qFormat/>
    <w:pPr>
      <w:keepNext/>
      <w:keepLines/>
      <w:spacing w:before="200" w:after="0"/>
      <w:outlineLvl w:val="1"/>
    </w:pPr>
    <w:rPr>
      <w:b/>
      <w:bCs/>
      <w:color w:val="4F81BD" w:themeColor="accent1"/>
      <w:sz w:val="26"/>
      <w:szCs w:val="26"/>
    </w:rPr>
  </w:style>
  <w:style w:type="paragraph" w:styleId="31">
    <w:name w:val="heading 3"/>
    <w:basedOn w:val="a1"/>
    <w:next w:val="a1"/>
    <w:link w:val="32"/>
    <w:uiPriority w:val="9"/>
    <w:semiHidden/>
    <w:unhideWhenUsed/>
    <w:qFormat/>
    <w:pPr>
      <w:keepNext/>
      <w:keepLines/>
      <w:spacing w:before="200" w:after="0"/>
      <w:outlineLvl w:val="2"/>
    </w:pPr>
    <w:rPr>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color w:val="243F60" w:themeColor="accent1" w:themeShade="7F"/>
    </w:rPr>
  </w:style>
  <w:style w:type="paragraph" w:styleId="6">
    <w:name w:val="heading 6"/>
    <w:basedOn w:val="a1"/>
    <w:next w:val="a1"/>
    <w:link w:val="60"/>
    <w:uiPriority w:val="9"/>
    <w:semiHidden/>
    <w:unhideWhenUsed/>
    <w:qFormat/>
    <w:pPr>
      <w:keepNext/>
      <w:keepLines/>
      <w:spacing w:before="200" w:after="0"/>
      <w:outlineLvl w:val="5"/>
    </w:pPr>
    <w:rPr>
      <w:i/>
      <w:iCs/>
      <w:color w:val="243F60" w:themeColor="accent1" w:themeShade="7F"/>
    </w:rPr>
  </w:style>
  <w:style w:type="paragraph" w:styleId="7">
    <w:name w:val="heading 7"/>
    <w:basedOn w:val="a1"/>
    <w:next w:val="a1"/>
    <w:link w:val="70"/>
    <w:semiHidden/>
    <w:qFormat/>
    <w:pPr>
      <w:keepNext/>
      <w:keepLines/>
      <w:spacing w:before="200" w:after="0"/>
      <w:outlineLvl w:val="6"/>
    </w:pPr>
    <w:rPr>
      <w:i/>
      <w:iCs/>
      <w:color w:val="404040" w:themeColor="text1" w:themeTint="BF"/>
    </w:rPr>
  </w:style>
  <w:style w:type="paragraph" w:styleId="8">
    <w:name w:val="heading 8"/>
    <w:basedOn w:val="a1"/>
    <w:next w:val="a1"/>
    <w:link w:val="80"/>
    <w:semiHidden/>
    <w:qFormat/>
    <w:pPr>
      <w:keepNext/>
      <w:keepLines/>
      <w:spacing w:before="200" w:after="0"/>
      <w:outlineLvl w:val="7"/>
    </w:pPr>
    <w:rPr>
      <w:color w:val="4F81BD" w:themeColor="accent1"/>
      <w:sz w:val="20"/>
      <w:szCs w:val="20"/>
    </w:rPr>
  </w:style>
  <w:style w:type="paragraph" w:styleId="9">
    <w:name w:val="heading 9"/>
    <w:basedOn w:val="a1"/>
    <w:next w:val="a1"/>
    <w:link w:val="90"/>
    <w:semiHidden/>
    <w:qFormat/>
    <w:pPr>
      <w:keepNext/>
      <w:keepLines/>
      <w:spacing w:before="200" w:after="0"/>
      <w:outlineLvl w:val="8"/>
    </w:pPr>
    <w:rPr>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pPr>
      <w:tabs>
        <w:tab w:val="center" w:pos="4680"/>
        <w:tab w:val="right" w:pos="9360"/>
      </w:tabs>
      <w:spacing w:after="0" w:line="240" w:lineRule="auto"/>
    </w:pPr>
  </w:style>
  <w:style w:type="paragraph" w:styleId="a7">
    <w:name w:val="footer"/>
    <w:basedOn w:val="a1"/>
    <w:link w:val="a8"/>
    <w:pPr>
      <w:tabs>
        <w:tab w:val="center" w:pos="4680"/>
        <w:tab w:val="right" w:pos="9360"/>
      </w:tabs>
      <w:spacing w:after="0" w:line="240" w:lineRule="auto"/>
    </w:pPr>
  </w:style>
  <w:style w:type="paragraph" w:styleId="a9">
    <w:name w:val="No Spacing"/>
    <w:qFormat/>
    <w:pPr>
      <w:spacing w:after="0" w:line="240" w:lineRule="auto"/>
    </w:pPr>
  </w:style>
  <w:style w:type="paragraph" w:styleId="aa">
    <w:name w:val="Title"/>
    <w:basedOn w:val="a1"/>
    <w:next w:val="a1"/>
    <w:link w:val="ab"/>
    <w:uiPriority w:val="10"/>
    <w:qFormat/>
    <w:pPr>
      <w:pBdr>
        <w:bottom w:val="single" w:sz="8" w:space="4" w:color="4F81BD" w:themeColor="accent1"/>
      </w:pBdr>
      <w:spacing w:after="300" w:line="240" w:lineRule="auto"/>
      <w:contextualSpacing/>
    </w:pPr>
    <w:rPr>
      <w:color w:val="17365D" w:themeColor="text2" w:themeShade="BF"/>
      <w:spacing w:val="5"/>
      <w:kern w:val="28"/>
      <w:sz w:val="52"/>
      <w:szCs w:val="52"/>
    </w:rPr>
  </w:style>
  <w:style w:type="paragraph" w:styleId="ac">
    <w:name w:val="Subtitle"/>
    <w:basedOn w:val="a1"/>
    <w:next w:val="a1"/>
    <w:link w:val="ad"/>
    <w:uiPriority w:val="11"/>
    <w:qFormat/>
    <w:rPr>
      <w:i/>
      <w:iCs/>
      <w:color w:val="4F81BD" w:themeColor="accent1"/>
      <w:spacing w:val="15"/>
      <w:szCs w:val="24"/>
    </w:rPr>
  </w:style>
  <w:style w:type="paragraph" w:styleId="ae">
    <w:name w:val="List Paragraph"/>
    <w:basedOn w:val="a1"/>
    <w:qFormat/>
    <w:pPr>
      <w:ind w:left="720"/>
      <w:contextualSpacing/>
    </w:pPr>
  </w:style>
  <w:style w:type="paragraph" w:styleId="af">
    <w:name w:val="Body Text"/>
    <w:basedOn w:val="a1"/>
    <w:link w:val="af0"/>
    <w:pPr>
      <w:spacing w:after="120"/>
    </w:pPr>
  </w:style>
  <w:style w:type="paragraph" w:styleId="23">
    <w:name w:val="Body Text 2"/>
    <w:basedOn w:val="a1"/>
    <w:link w:val="24"/>
    <w:pPr>
      <w:spacing w:after="120" w:line="480" w:lineRule="auto"/>
    </w:pPr>
  </w:style>
  <w:style w:type="paragraph" w:styleId="33">
    <w:name w:val="Body Text 3"/>
    <w:basedOn w:val="a1"/>
    <w:link w:val="34"/>
    <w:pPr>
      <w:spacing w:after="120"/>
    </w:pPr>
    <w:rPr>
      <w:sz w:val="16"/>
      <w:szCs w:val="16"/>
    </w:rPr>
  </w:style>
  <w:style w:type="paragraph" w:styleId="af1">
    <w:name w:val="List"/>
    <w:basedOn w:val="a1"/>
    <w:pPr>
      <w:ind w:left="360" w:hanging="360"/>
      <w:contextualSpacing/>
    </w:pPr>
  </w:style>
  <w:style w:type="paragraph" w:styleId="25">
    <w:name w:val="List 2"/>
    <w:basedOn w:val="a1"/>
    <w:pPr>
      <w:ind w:left="720" w:hanging="360"/>
      <w:contextualSpacing/>
    </w:pPr>
  </w:style>
  <w:style w:type="paragraph" w:styleId="35">
    <w:name w:val="List 3"/>
    <w:basedOn w:val="a1"/>
    <w:pPr>
      <w:ind w:left="1080" w:hanging="360"/>
      <w:contextualSpacing/>
    </w:pPr>
  </w:style>
  <w:style w:type="paragraph" w:styleId="a0">
    <w:name w:val="List Bullet"/>
    <w:basedOn w:val="a1"/>
    <w:pPr>
      <w:numPr>
        <w:numId w:val="1"/>
      </w:numPr>
      <w:contextualSpacing/>
    </w:pPr>
  </w:style>
  <w:style w:type="paragraph" w:styleId="20">
    <w:name w:val="List Bullet 2"/>
    <w:basedOn w:val="a1"/>
    <w:pPr>
      <w:numPr>
        <w:numId w:val="2"/>
      </w:numPr>
      <w:contextualSpacing/>
    </w:pPr>
  </w:style>
  <w:style w:type="paragraph" w:styleId="30">
    <w:name w:val="List Bullet 3"/>
    <w:basedOn w:val="a1"/>
    <w:pPr>
      <w:numPr>
        <w:numId w:val="3"/>
      </w:numPr>
      <w:contextualSpacing/>
    </w:pPr>
  </w:style>
  <w:style w:type="paragraph" w:styleId="a">
    <w:name w:val="List Number"/>
    <w:basedOn w:val="a1"/>
    <w:pPr>
      <w:numPr>
        <w:numId w:val="5"/>
      </w:numPr>
      <w:contextualSpacing/>
    </w:pPr>
  </w:style>
  <w:style w:type="paragraph" w:styleId="2">
    <w:name w:val="List Number 2"/>
    <w:basedOn w:val="a1"/>
    <w:pPr>
      <w:numPr>
        <w:numId w:val="6"/>
      </w:numPr>
      <w:tabs>
        <w:tab w:val="clear" w:pos="720"/>
        <w:tab w:val="num" w:pos="360"/>
      </w:tabs>
      <w:ind w:left="0" w:firstLine="0"/>
      <w:contextualSpacing/>
    </w:pPr>
  </w:style>
  <w:style w:type="paragraph" w:styleId="3">
    <w:name w:val="List Number 3"/>
    <w:basedOn w:val="a1"/>
    <w:pPr>
      <w:numPr>
        <w:numId w:val="7"/>
      </w:numPr>
      <w:contextualSpacing/>
    </w:pPr>
  </w:style>
  <w:style w:type="paragraph" w:styleId="af2">
    <w:name w:val="List Continue"/>
    <w:basedOn w:val="a1"/>
    <w:pPr>
      <w:spacing w:after="120"/>
      <w:ind w:left="360"/>
      <w:contextualSpacing/>
    </w:pPr>
  </w:style>
  <w:style w:type="paragraph" w:styleId="26">
    <w:name w:val="List Continue 2"/>
    <w:basedOn w:val="a1"/>
    <w:pPr>
      <w:spacing w:after="120"/>
      <w:ind w:left="720"/>
      <w:contextualSpacing/>
    </w:pPr>
  </w:style>
  <w:style w:type="paragraph" w:styleId="36">
    <w:name w:val="List Continue 3"/>
    <w:basedOn w:val="a1"/>
    <w:pPr>
      <w:spacing w:after="120"/>
      <w:ind w:left="1080"/>
      <w:contextualSpacing/>
    </w:pPr>
  </w:style>
  <w:style w:type="paragraph" w:styleId="af3">
    <w:name w:val="macro"/>
    <w:link w:val="af4"/>
    <w:pPr>
      <w:tabs>
        <w:tab w:val="left" w:pos="576"/>
        <w:tab w:val="left" w:pos="1152"/>
        <w:tab w:val="left" w:pos="1728"/>
        <w:tab w:val="left" w:pos="2304"/>
        <w:tab w:val="left" w:pos="2880"/>
        <w:tab w:val="left" w:pos="3456"/>
        <w:tab w:val="left" w:pos="4032"/>
      </w:tabs>
    </w:pPr>
    <w:rPr>
      <w:rFonts w:ascii="Courier" w:hAnsi="Courier"/>
      <w:sz w:val="20"/>
      <w:szCs w:val="20"/>
    </w:rPr>
  </w:style>
  <w:style w:type="paragraph" w:styleId="af5">
    <w:name w:val="Quote"/>
    <w:basedOn w:val="a1"/>
    <w:next w:val="a1"/>
    <w:link w:val="af6"/>
    <w:qFormat/>
    <w:rPr>
      <w:i/>
      <w:iCs/>
      <w:color w:val="000000" w:themeColor="text1"/>
    </w:rPr>
  </w:style>
  <w:style w:type="paragraph" w:styleId="af7">
    <w:name w:val="caption"/>
    <w:basedOn w:val="a1"/>
    <w:next w:val="a1"/>
    <w:semiHidden/>
    <w:qFormat/>
    <w:pPr>
      <w:spacing w:line="240" w:lineRule="auto"/>
    </w:pPr>
    <w:rPr>
      <w:b/>
      <w:bCs/>
      <w:color w:val="4F81BD" w:themeColor="accent1"/>
      <w:sz w:val="18"/>
      <w:szCs w:val="18"/>
    </w:rPr>
  </w:style>
  <w:style w:type="paragraph" w:styleId="af8">
    <w:name w:val="Intense Quote"/>
    <w:basedOn w:val="a1"/>
    <w:next w:val="a1"/>
    <w:link w:val="af9"/>
    <w:qFormat/>
    <w:pPr>
      <w:pBdr>
        <w:bottom w:val="single" w:sz="4" w:space="4" w:color="4F81BD" w:themeColor="accent1"/>
      </w:pBdr>
      <w:spacing w:before="200" w:after="280"/>
      <w:ind w:left="936" w:right="936"/>
    </w:pPr>
    <w:rPr>
      <w:b/>
      <w:bCs/>
      <w:i/>
      <w:iCs/>
      <w:color w:val="4F81BD" w:themeColor="accent1"/>
    </w:rPr>
  </w:style>
  <w:style w:type="paragraph" w:styleId="afa">
    <w:name w:val="TOC Heading"/>
    <w:basedOn w:val="1"/>
    <w:next w:val="a1"/>
    <w:semiHidden/>
    <w:qFormat/>
    <w:pPr>
      <w:outlineLvl w:val="9"/>
    </w:pPr>
  </w:style>
  <w:style w:type="paragraph" w:styleId="afb">
    <w:name w:val="footnote text"/>
    <w:link w:val="afc"/>
    <w:semiHidden/>
    <w:pPr>
      <w:spacing w:after="0" w:line="240" w:lineRule="auto"/>
    </w:pPr>
    <w:rPr>
      <w:sz w:val="20"/>
      <w:szCs w:val="20"/>
    </w:rPr>
  </w:style>
  <w:style w:type="paragraph" w:styleId="afd">
    <w:name w:val="endnote text"/>
    <w:link w:val="afe"/>
    <w:semiHidden/>
    <w:pPr>
      <w:spacing w:after="0" w:line="240" w:lineRule="auto"/>
    </w:pPr>
    <w:rPr>
      <w:sz w:val="20"/>
      <w:szCs w:val="20"/>
    </w:rPr>
  </w:style>
  <w:style w:type="character" w:styleId="aff">
    <w:name w:val="line number"/>
    <w:basedOn w:val="a2"/>
    <w:semiHidden/>
  </w:style>
  <w:style w:type="character" w:styleId="aff0">
    <w:name w:val="Hyperlink"/>
    <w:rPr>
      <w:color w:val="0000FF"/>
      <w:u w:val="single"/>
    </w:rPr>
  </w:style>
  <w:style w:type="character" w:customStyle="1" w:styleId="a6">
    <w:name w:val="Верхній колонтитул Знак"/>
    <w:basedOn w:val="a2"/>
    <w:link w:val="a5"/>
  </w:style>
  <w:style w:type="character" w:customStyle="1" w:styleId="a8">
    <w:name w:val="Нижній колонтитул Знак"/>
    <w:basedOn w:val="a2"/>
    <w:link w:val="a7"/>
  </w:style>
  <w:style w:type="character" w:customStyle="1" w:styleId="10">
    <w:name w:val="Заголовок 1 Знак"/>
    <w:basedOn w:val="a2"/>
    <w:link w:val="1"/>
    <w:rPr>
      <w:b/>
      <w:bCs/>
      <w:color w:val="365F91" w:themeColor="accent1" w:themeShade="BF"/>
      <w:sz w:val="28"/>
      <w:szCs w:val="28"/>
    </w:rPr>
  </w:style>
  <w:style w:type="character" w:customStyle="1" w:styleId="22">
    <w:name w:val="Заголовок 2 Знак"/>
    <w:basedOn w:val="a2"/>
    <w:link w:val="21"/>
    <w:rPr>
      <w:b/>
      <w:bCs/>
      <w:color w:val="4F81BD" w:themeColor="accent1"/>
      <w:sz w:val="26"/>
      <w:szCs w:val="26"/>
    </w:rPr>
  </w:style>
  <w:style w:type="character" w:customStyle="1" w:styleId="32">
    <w:name w:val="Заголовок 3 Знак"/>
    <w:basedOn w:val="a2"/>
    <w:link w:val="31"/>
    <w:rPr>
      <w:b/>
      <w:bCs/>
      <w:color w:val="4F81BD" w:themeColor="accent1"/>
    </w:rPr>
  </w:style>
  <w:style w:type="character" w:customStyle="1" w:styleId="ab">
    <w:name w:val="Назва Знак"/>
    <w:basedOn w:val="a2"/>
    <w:link w:val="aa"/>
    <w:rPr>
      <w:color w:val="17365D" w:themeColor="text2" w:themeShade="BF"/>
      <w:spacing w:val="5"/>
      <w:kern w:val="28"/>
      <w:sz w:val="52"/>
      <w:szCs w:val="52"/>
    </w:rPr>
  </w:style>
  <w:style w:type="character" w:customStyle="1" w:styleId="ad">
    <w:name w:val="Підзаголовок Знак"/>
    <w:basedOn w:val="a2"/>
    <w:link w:val="ac"/>
    <w:rPr>
      <w:i/>
      <w:iCs/>
      <w:color w:val="4F81BD" w:themeColor="accent1"/>
      <w:spacing w:val="15"/>
      <w:sz w:val="24"/>
      <w:szCs w:val="24"/>
    </w:rPr>
  </w:style>
  <w:style w:type="character" w:customStyle="1" w:styleId="af0">
    <w:name w:val="Основний текст Знак"/>
    <w:basedOn w:val="a2"/>
    <w:link w:val="af"/>
  </w:style>
  <w:style w:type="character" w:customStyle="1" w:styleId="24">
    <w:name w:val="Основний текст 2 Знак"/>
    <w:basedOn w:val="a2"/>
    <w:link w:val="23"/>
  </w:style>
  <w:style w:type="character" w:customStyle="1" w:styleId="34">
    <w:name w:val="Основний текст 3 Знак"/>
    <w:basedOn w:val="a2"/>
    <w:link w:val="33"/>
    <w:rPr>
      <w:sz w:val="16"/>
      <w:szCs w:val="16"/>
    </w:rPr>
  </w:style>
  <w:style w:type="character" w:customStyle="1" w:styleId="af4">
    <w:name w:val="Текст макросу Знак"/>
    <w:basedOn w:val="a2"/>
    <w:link w:val="af3"/>
    <w:rPr>
      <w:rFonts w:ascii="Courier" w:hAnsi="Courier"/>
      <w:sz w:val="20"/>
      <w:szCs w:val="20"/>
    </w:rPr>
  </w:style>
  <w:style w:type="character" w:customStyle="1" w:styleId="af6">
    <w:name w:val="Цитата Знак"/>
    <w:basedOn w:val="a2"/>
    <w:link w:val="af5"/>
    <w:rPr>
      <w:i/>
      <w:iCs/>
      <w:color w:val="000000" w:themeColor="text1"/>
    </w:rPr>
  </w:style>
  <w:style w:type="character" w:customStyle="1" w:styleId="40">
    <w:name w:val="Заголовок 4 Знак"/>
    <w:basedOn w:val="a2"/>
    <w:link w:val="4"/>
    <w:semiHidden/>
    <w:rPr>
      <w:b/>
      <w:bCs/>
      <w:i/>
      <w:iCs/>
      <w:color w:val="4F81BD" w:themeColor="accent1"/>
    </w:rPr>
  </w:style>
  <w:style w:type="character" w:customStyle="1" w:styleId="50">
    <w:name w:val="Заголовок 5 Знак"/>
    <w:basedOn w:val="a2"/>
    <w:link w:val="5"/>
    <w:semiHidden/>
    <w:rPr>
      <w:color w:val="243F60" w:themeColor="accent1" w:themeShade="7F"/>
    </w:rPr>
  </w:style>
  <w:style w:type="character" w:customStyle="1" w:styleId="60">
    <w:name w:val="Заголовок 6 Знак"/>
    <w:basedOn w:val="a2"/>
    <w:link w:val="6"/>
    <w:semiHidden/>
    <w:rPr>
      <w:i/>
      <w:iCs/>
      <w:color w:val="243F60" w:themeColor="accent1" w:themeShade="7F"/>
    </w:rPr>
  </w:style>
  <w:style w:type="character" w:customStyle="1" w:styleId="70">
    <w:name w:val="Заголовок 7 Знак"/>
    <w:basedOn w:val="a2"/>
    <w:link w:val="7"/>
    <w:semiHidden/>
    <w:rPr>
      <w:i/>
      <w:iCs/>
      <w:color w:val="404040" w:themeColor="text1" w:themeTint="BF"/>
    </w:rPr>
  </w:style>
  <w:style w:type="character" w:customStyle="1" w:styleId="80">
    <w:name w:val="Заголовок 8 Знак"/>
    <w:basedOn w:val="a2"/>
    <w:link w:val="8"/>
    <w:semiHidden/>
    <w:rPr>
      <w:color w:val="4F81BD" w:themeColor="accent1"/>
      <w:sz w:val="20"/>
      <w:szCs w:val="20"/>
    </w:rPr>
  </w:style>
  <w:style w:type="character" w:customStyle="1" w:styleId="90">
    <w:name w:val="Заголовок 9 Знак"/>
    <w:basedOn w:val="a2"/>
    <w:link w:val="9"/>
    <w:semiHidden/>
    <w:rPr>
      <w:i/>
      <w:iCs/>
      <w:color w:val="404040" w:themeColor="text1" w:themeTint="BF"/>
      <w:sz w:val="20"/>
      <w:szCs w:val="20"/>
    </w:rPr>
  </w:style>
  <w:style w:type="character" w:styleId="aff1">
    <w:name w:val="Strong"/>
    <w:basedOn w:val="a2"/>
    <w:qFormat/>
    <w:rPr>
      <w:b/>
      <w:bCs/>
    </w:rPr>
  </w:style>
  <w:style w:type="character" w:styleId="aff2">
    <w:name w:val="Emphasis"/>
    <w:basedOn w:val="a2"/>
    <w:qFormat/>
    <w:rPr>
      <w:i/>
      <w:iCs/>
    </w:rPr>
  </w:style>
  <w:style w:type="character" w:customStyle="1" w:styleId="af9">
    <w:name w:val="Насичена цитата Знак"/>
    <w:basedOn w:val="a2"/>
    <w:link w:val="af8"/>
    <w:rPr>
      <w:b/>
      <w:bCs/>
      <w:i/>
      <w:iCs/>
      <w:color w:val="4F81BD" w:themeColor="accent1"/>
    </w:rPr>
  </w:style>
  <w:style w:type="character" w:styleId="aff3">
    <w:name w:val="Subtle Emphasis"/>
    <w:basedOn w:val="a2"/>
    <w:qFormat/>
    <w:rPr>
      <w:i/>
      <w:iCs/>
      <w:color w:val="808080" w:themeColor="text1" w:themeTint="7F"/>
    </w:rPr>
  </w:style>
  <w:style w:type="character" w:styleId="aff4">
    <w:name w:val="Intense Emphasis"/>
    <w:basedOn w:val="a2"/>
    <w:qFormat/>
    <w:rPr>
      <w:b/>
      <w:bCs/>
      <w:i/>
      <w:iCs/>
      <w:color w:val="4F81BD" w:themeColor="accent1"/>
    </w:rPr>
  </w:style>
  <w:style w:type="character" w:customStyle="1" w:styleId="SubtleReference1">
    <w:name w:val="Subtle Reference1"/>
    <w:basedOn w:val="a2"/>
    <w:qFormat/>
    <w:rPr>
      <w:smallCaps/>
      <w:color w:val="C0504D" w:themeColor="accent2"/>
      <w:u w:val="single"/>
    </w:rPr>
  </w:style>
  <w:style w:type="character" w:customStyle="1" w:styleId="IntenseReference1">
    <w:name w:val="Intense Reference1"/>
    <w:basedOn w:val="a2"/>
    <w:qFormat/>
    <w:rPr>
      <w:b/>
      <w:bCs/>
      <w:smallCaps/>
      <w:color w:val="C0504D" w:themeColor="accent2"/>
      <w:spacing w:val="5"/>
      <w:u w:val="single"/>
    </w:rPr>
  </w:style>
  <w:style w:type="character" w:styleId="aff5">
    <w:name w:val="Book Title"/>
    <w:basedOn w:val="a2"/>
    <w:qFormat/>
    <w:rPr>
      <w:b/>
      <w:bCs/>
      <w:smallCaps/>
      <w:spacing w:val="5"/>
    </w:rPr>
  </w:style>
  <w:style w:type="character" w:styleId="aff6">
    <w:name w:val="footnote reference"/>
    <w:semiHidden/>
    <w:rPr>
      <w:vertAlign w:val="superscript"/>
    </w:rPr>
  </w:style>
  <w:style w:type="character" w:customStyle="1" w:styleId="afc">
    <w:name w:val="Текст виноски Знак"/>
    <w:link w:val="afb"/>
    <w:semiHidden/>
    <w:rPr>
      <w:sz w:val="20"/>
      <w:szCs w:val="20"/>
    </w:rPr>
  </w:style>
  <w:style w:type="character" w:styleId="aff7">
    <w:name w:val="endnote reference"/>
    <w:semiHidden/>
    <w:rPr>
      <w:vertAlign w:val="superscript"/>
    </w:rPr>
  </w:style>
  <w:style w:type="character" w:customStyle="1" w:styleId="afe">
    <w:name w:val="Текст кінцевої виноски Знак"/>
    <w:link w:val="afd"/>
    <w:semiHidden/>
    <w:rPr>
      <w:sz w:val="20"/>
      <w:szCs w:val="20"/>
    </w:rPr>
  </w:style>
  <w:style w:type="table" w:styleId="11">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8">
    <w:name w:val="Table Grid"/>
    <w:basedOn w:val="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a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beforeAutospacing="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beforeAutospacing="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beforeAutospacing="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beforeAutospacing="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beforeAutospacing="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beforeAutospacing="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beforeAutospacing="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beforeAutospacing="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beforeAutospacing="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beforeAutospacing="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beforeAutospacing="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beforeAutospacing="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beforeAutospacing="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beforeAutospacing="0" w:after="0" w:afterAutospacing="0" w:line="240" w:lineRule="auto"/>
      </w:pPr>
      <w:rPr>
        <w:b/>
        <w:bCs/>
        <w:color w:val="FFFFFF" w:themeColor="background1"/>
      </w:rPr>
      <w:tblPr/>
      <w:tcPr>
        <w:shd w:val="clear" w:color="auto" w:fill="000000" w:themeFill="text1"/>
      </w:tcPr>
    </w:tblStylePr>
    <w:tblStylePr w:type="lastRow">
      <w:pPr>
        <w:spacing w:before="0" w:beforeAutospacing="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beforeAutospacing="0" w:after="0" w:afterAutospacing="0" w:line="240" w:lineRule="auto"/>
      </w:pPr>
      <w:rPr>
        <w:b/>
        <w:bCs/>
        <w:color w:val="FFFFFF" w:themeColor="background1"/>
      </w:rPr>
      <w:tblPr/>
      <w:tcPr>
        <w:shd w:val="clear" w:color="auto" w:fill="4F81BD" w:themeFill="accent1"/>
      </w:tcPr>
    </w:tblStylePr>
    <w:tblStylePr w:type="lastRow">
      <w:pPr>
        <w:spacing w:before="0" w:beforeAutospacing="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beforeAutospacing="0" w:after="0" w:afterAutospacing="0" w:line="240" w:lineRule="auto"/>
      </w:pPr>
      <w:rPr>
        <w:b/>
        <w:bCs/>
        <w:color w:val="FFFFFF" w:themeColor="background1"/>
      </w:rPr>
      <w:tblPr/>
      <w:tcPr>
        <w:shd w:val="clear" w:color="auto" w:fill="C0504D" w:themeFill="accent2"/>
      </w:tcPr>
    </w:tblStylePr>
    <w:tblStylePr w:type="lastRow">
      <w:pPr>
        <w:spacing w:before="0" w:beforeAutospacing="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beforeAutospacing="0" w:after="0" w:afterAutospacing="0" w:line="240" w:lineRule="auto"/>
      </w:pPr>
      <w:rPr>
        <w:b/>
        <w:bCs/>
        <w:color w:val="FFFFFF" w:themeColor="background1"/>
      </w:rPr>
      <w:tblPr/>
      <w:tcPr>
        <w:shd w:val="clear" w:color="auto" w:fill="9BBB59" w:themeFill="accent3"/>
      </w:tcPr>
    </w:tblStylePr>
    <w:tblStylePr w:type="lastRow">
      <w:pPr>
        <w:spacing w:before="0" w:beforeAutospacing="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beforeAutospacing="0" w:after="0" w:afterAutospacing="0" w:line="240" w:lineRule="auto"/>
      </w:pPr>
      <w:rPr>
        <w:b/>
        <w:bCs/>
        <w:color w:val="FFFFFF" w:themeColor="background1"/>
      </w:rPr>
      <w:tblPr/>
      <w:tcPr>
        <w:shd w:val="clear" w:color="auto" w:fill="8064A2" w:themeFill="accent4"/>
      </w:tcPr>
    </w:tblStylePr>
    <w:tblStylePr w:type="lastRow">
      <w:pPr>
        <w:spacing w:before="0" w:beforeAutospacing="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beforeAutospacing="0" w:after="0" w:afterAutospacing="0" w:line="240" w:lineRule="auto"/>
      </w:pPr>
      <w:rPr>
        <w:b/>
        <w:bCs/>
        <w:color w:val="FFFFFF" w:themeColor="background1"/>
      </w:rPr>
      <w:tblPr/>
      <w:tcPr>
        <w:shd w:val="clear" w:color="auto" w:fill="4BACC6" w:themeFill="accent5"/>
      </w:tcPr>
    </w:tblStylePr>
    <w:tblStylePr w:type="lastRow">
      <w:pPr>
        <w:spacing w:before="0" w:beforeAutospacing="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beforeAutospacing="0" w:after="0" w:afterAutospacing="0" w:line="240" w:lineRule="auto"/>
      </w:pPr>
      <w:rPr>
        <w:b/>
        <w:bCs/>
        <w:color w:val="FFFFFF" w:themeColor="background1"/>
      </w:rPr>
      <w:tblPr/>
      <w:tcPr>
        <w:shd w:val="clear" w:color="auto" w:fill="F79646" w:themeFill="accent6"/>
      </w:tcPr>
    </w:tblStylePr>
    <w:tblStylePr w:type="lastRow">
      <w:pPr>
        <w:spacing w:before="0" w:beforeAutospacing="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beforeAutospacing="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b/>
        <w:bCs/>
      </w:rPr>
    </w:tblStylePr>
    <w:tblStylePr w:type="lastCol">
      <w:rPr>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4">
    <w:name w:val="Light Grid Accent 1"/>
    <w:basedOn w:val="a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beforeAutospacing="0" w:after="0" w:afterAutospacing="0" w:line="240" w:lineRule="auto"/>
      </w:pPr>
      <w:rPr>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beforeAutospacing="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b/>
        <w:bCs/>
      </w:rPr>
    </w:tblStylePr>
    <w:tblStylePr w:type="lastCol">
      <w:rPr>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beforeAutospacing="0" w:after="0" w:afterAutospacing="0" w:line="240" w:lineRule="auto"/>
      </w:pPr>
      <w:rPr>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beforeAutospacing="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b/>
        <w:bCs/>
      </w:rPr>
    </w:tblStylePr>
    <w:tblStylePr w:type="lastCol">
      <w:rPr>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beforeAutospacing="0" w:after="0" w:afterAutospacing="0" w:line="240" w:lineRule="auto"/>
      </w:pPr>
      <w:rPr>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beforeAutospacing="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b/>
        <w:bCs/>
      </w:rPr>
    </w:tblStylePr>
    <w:tblStylePr w:type="lastCol">
      <w:rPr>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beforeAutospacing="0" w:after="0" w:afterAutospacing="0" w:line="240" w:lineRule="auto"/>
      </w:pPr>
      <w:rPr>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beforeAutospacing="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b/>
        <w:bCs/>
      </w:rPr>
    </w:tblStylePr>
    <w:tblStylePr w:type="lastCol">
      <w:rPr>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beforeAutospacing="0" w:after="0" w:afterAutospacing="0" w:line="240" w:lineRule="auto"/>
      </w:pPr>
      <w:rPr>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beforeAutospacing="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b/>
        <w:bCs/>
      </w:rPr>
    </w:tblStylePr>
    <w:tblStylePr w:type="lastCol">
      <w:rPr>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beforeAutospacing="0" w:after="0" w:afterAutospacing="0" w:line="240" w:lineRule="auto"/>
      </w:pPr>
      <w:rPr>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beforeAutospacing="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b/>
        <w:bCs/>
      </w:rPr>
    </w:tblStylePr>
    <w:tblStylePr w:type="lastCol">
      <w:rPr>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beforeAutospacing="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beforeAutospacing="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beforeAutospacing="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beforeAutospacing="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beforeAutospacing="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beforeAutospacing="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beforeAutospacing="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beforeAutospacing="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beforeAutospacing="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beforeAutospacing="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beforeAutospacing="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beforeAutospacing="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beforeAutospacing="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beforeAutospacing="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beforeAutospacing="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beforeAutospacing="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beforeAutospacing="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beforeAutospacing="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beforeAutospacing="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beforeAutospacing="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beforeAutospacing="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a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a3"/>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a3"/>
    <w:pPr>
      <w:spacing w:after="0" w:line="240" w:lineRule="auto"/>
    </w:pPr>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7E7E7" w:themeFill="text1" w:themeFillTint="18"/>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CECE" w:themeFill="text1" w:themeFillTint="31"/>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pPr>
      <w:spacing w:after="0" w:line="240" w:lineRule="auto"/>
    </w:pPr>
    <w:rPr>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EF2F8" w:themeFill="accent1" w:themeFillTint="18"/>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6F2" w:themeFill="accent1" w:themeFillTint="31"/>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pPr>
      <w:spacing w:after="0" w:line="240" w:lineRule="auto"/>
    </w:pPr>
    <w:rPr>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9EEEE" w:themeFill="accent2" w:themeFillTint="18"/>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DDC" w:themeFill="accent2" w:themeFillTint="31"/>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pPr>
      <w:spacing w:after="0" w:line="240" w:lineRule="auto"/>
    </w:pPr>
    <w:rPr>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F" w:themeFill="accent3" w:themeFillTint="18"/>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2DF" w:themeFill="accent3" w:themeFillTint="31"/>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pPr>
      <w:spacing w:after="0" w:line="240" w:lineRule="auto"/>
    </w:pPr>
    <w:rPr>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F0F6" w:themeFill="accent4" w:themeFillTint="18"/>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1ED" w:themeFill="accent4" w:themeFillTint="31"/>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pPr>
      <w:spacing w:after="0" w:line="240" w:lineRule="auto"/>
    </w:pPr>
    <w:rPr>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EF7F9" w:themeFill="accent5" w:themeFillTint="18"/>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FF4" w:themeFill="accent5" w:themeFillTint="31"/>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pPr>
      <w:spacing w:after="0" w:line="240" w:lineRule="auto"/>
    </w:pPr>
    <w:rPr>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5ED" w:themeFill="accent6" w:themeFillTint="18"/>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ADB" w:themeFill="accent6" w:themeFillTint="31"/>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a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a">
    <w:name w:val="Dark List Accent 2"/>
    <w:basedOn w:val="a3"/>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a">
    <w:name w:val="Dark List Accent 3"/>
    <w:basedOn w:val="a3"/>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a3"/>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7E7E7" w:themeFill="text1" w:themeFillTint="18"/>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8">
    <w:name w:val="Colorful Shading Accent 1"/>
    <w:basedOn w:val="a3"/>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EF2F8" w:themeFill="accent1" w:themeFillTint="18"/>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b">
    <w:name w:val="Colorful Shading Accent 2"/>
    <w:basedOn w:val="a3"/>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9EEEE" w:themeFill="accent2" w:themeFillTint="18"/>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b">
    <w:name w:val="Colorful Shading Accent 3"/>
    <w:basedOn w:val="a3"/>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F" w:themeFill="accent3" w:themeFillTint="18"/>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F0F6" w:themeFill="accent4" w:themeFillTint="18"/>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EF7F9" w:themeFill="accent5" w:themeFillTint="18"/>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5ED" w:themeFill="accent6" w:themeFillTint="18"/>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a3"/>
    <w:pPr>
      <w:spacing w:after="0" w:line="240" w:lineRule="auto"/>
    </w:pPr>
    <w:rPr>
      <w:color w:val="000000" w:themeColor="text1"/>
    </w:rPr>
    <w:tblPr>
      <w:tblStyleRowBandSize w:val="1"/>
      <w:tblStyleColBandSize w:val="1"/>
    </w:tblPr>
    <w:tcPr>
      <w:shd w:val="clear" w:color="auto" w:fill="E7E7E7" w:themeFill="text1" w:themeFillTint="18"/>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ECECE" w:themeFill="text1" w:themeFillTint="31"/>
      </w:tcPr>
    </w:tblStylePr>
  </w:style>
  <w:style w:type="table" w:styleId="19">
    <w:name w:val="Colorful List Accent 1"/>
    <w:basedOn w:val="a3"/>
    <w:pPr>
      <w:spacing w:after="0" w:line="240" w:lineRule="auto"/>
    </w:pPr>
    <w:rPr>
      <w:color w:val="000000" w:themeColor="text1"/>
    </w:rPr>
    <w:tblPr>
      <w:tblStyleRowBandSize w:val="1"/>
      <w:tblStyleColBandSize w:val="1"/>
    </w:tblPr>
    <w:tcPr>
      <w:shd w:val="clear" w:color="auto" w:fill="EEF2F8" w:themeFill="accent1" w:themeFillTint="18"/>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DE6F2" w:themeFill="accent1" w:themeFillTint="31"/>
      </w:tcPr>
    </w:tblStylePr>
  </w:style>
  <w:style w:type="table" w:styleId="2c">
    <w:name w:val="Colorful List Accent 2"/>
    <w:basedOn w:val="a3"/>
    <w:pPr>
      <w:spacing w:after="0" w:line="240" w:lineRule="auto"/>
    </w:pPr>
    <w:rPr>
      <w:color w:val="000000" w:themeColor="text1"/>
    </w:rPr>
    <w:tblPr>
      <w:tblStyleRowBandSize w:val="1"/>
      <w:tblStyleColBandSize w:val="1"/>
    </w:tblPr>
    <w:tcPr>
      <w:shd w:val="clear" w:color="auto" w:fill="F9EEEE" w:themeFill="accent2" w:themeFillTint="18"/>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3DDDC" w:themeFill="accent2" w:themeFillTint="31"/>
      </w:tcPr>
    </w:tblStylePr>
  </w:style>
  <w:style w:type="table" w:styleId="3c">
    <w:name w:val="Colorful List Accent 3"/>
    <w:basedOn w:val="a3"/>
    <w:pPr>
      <w:spacing w:after="0" w:line="240" w:lineRule="auto"/>
    </w:pPr>
    <w:rPr>
      <w:color w:val="000000" w:themeColor="text1"/>
    </w:rPr>
    <w:tblPr>
      <w:tblStyleRowBandSize w:val="1"/>
      <w:tblStyleColBandSize w:val="1"/>
    </w:tblPr>
    <w:tcPr>
      <w:shd w:val="clear" w:color="auto" w:fill="F5F8EF" w:themeFill="accent3" w:themeFillTint="18"/>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BF2DF" w:themeFill="accent3" w:themeFillTint="31"/>
      </w:tcPr>
    </w:tblStylePr>
  </w:style>
  <w:style w:type="table" w:styleId="46">
    <w:name w:val="Colorful List Accent 4"/>
    <w:basedOn w:val="a3"/>
    <w:pPr>
      <w:spacing w:after="0" w:line="240" w:lineRule="auto"/>
    </w:pPr>
    <w:rPr>
      <w:color w:val="000000" w:themeColor="text1"/>
    </w:rPr>
    <w:tblPr>
      <w:tblStyleRowBandSize w:val="1"/>
      <w:tblStyleColBandSize w:val="1"/>
    </w:tblPr>
    <w:tcPr>
      <w:shd w:val="clear" w:color="auto" w:fill="F2F0F6" w:themeFill="accent4" w:themeFillTint="18"/>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6E1ED" w:themeFill="accent4" w:themeFillTint="31"/>
      </w:tcPr>
    </w:tblStylePr>
  </w:style>
  <w:style w:type="table" w:styleId="56">
    <w:name w:val="Colorful List Accent 5"/>
    <w:basedOn w:val="a3"/>
    <w:pPr>
      <w:spacing w:after="0" w:line="240" w:lineRule="auto"/>
    </w:pPr>
    <w:rPr>
      <w:color w:val="000000" w:themeColor="text1"/>
    </w:rPr>
    <w:tblPr>
      <w:tblStyleRowBandSize w:val="1"/>
      <w:tblStyleColBandSize w:val="1"/>
    </w:tblPr>
    <w:tcPr>
      <w:shd w:val="clear" w:color="auto" w:fill="EEF7F9" w:themeFill="accent5" w:themeFillTint="18"/>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CEFF4" w:themeFill="accent5" w:themeFillTint="31"/>
      </w:tcPr>
    </w:tblStylePr>
  </w:style>
  <w:style w:type="table" w:styleId="66">
    <w:name w:val="Colorful List Accent 6"/>
    <w:basedOn w:val="a3"/>
    <w:pPr>
      <w:spacing w:after="0" w:line="240" w:lineRule="auto"/>
    </w:pPr>
    <w:rPr>
      <w:color w:val="000000" w:themeColor="text1"/>
    </w:rPr>
    <w:tblPr>
      <w:tblStyleRowBandSize w:val="1"/>
      <w:tblStyleColBandSize w:val="1"/>
    </w:tblPr>
    <w:tcPr>
      <w:shd w:val="clear" w:color="auto" w:fill="FEF5ED" w:themeFill="accent6" w:themeFillTint="18"/>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ADB" w:themeFill="accent6" w:themeFillTint="31"/>
      </w:tcPr>
    </w:tblStylePr>
  </w:style>
  <w:style w:type="table" w:customStyle="1" w:styleId="ColorfulGrid1">
    <w:name w:val="Colorful Grid1"/>
    <w:basedOn w:val="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CECE" w:themeFill="text1" w:themeFillTint="31"/>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a">
    <w:name w:val="Colorful Grid Accent 1"/>
    <w:basedOn w:val="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6F2" w:themeFill="accent1" w:themeFillTint="31"/>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d">
    <w:name w:val="Colorful Grid Accent 2"/>
    <w:basedOn w:val="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DDC" w:themeFill="accent2" w:themeFillTint="31"/>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d">
    <w:name w:val="Colorful Grid Accent 3"/>
    <w:basedOn w:val="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2DF" w:themeFill="accent3" w:themeFillTint="31"/>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1ED" w:themeFill="accent4" w:themeFillTint="31"/>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CEFF4" w:themeFill="accent5" w:themeFillTint="31"/>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ADB" w:themeFill="accent6" w:themeFillTint="31"/>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9">
    <w:name w:val="Normal (Web)"/>
    <w:basedOn w:val="a1"/>
    <w:uiPriority w:val="99"/>
    <w:semiHidden/>
    <w:unhideWhenUsed/>
    <w:rsid w:val="00F26D2E"/>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F686-802F-4A20-88C7-FDA4A679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7131</Words>
  <Characters>4066</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Проєкт Закону України щодо визначення строків оскарження дозвільних документів</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 Закону України щодо визначення строків оскарження дозвільних документів</dc:title>
  <dc:creator>Кишко Олександра Олександрівна</dc:creator>
  <cp:lastModifiedBy>Говорущенко Ольга Віталіївна</cp:lastModifiedBy>
  <cp:revision>2</cp:revision>
  <dcterms:created xsi:type="dcterms:W3CDTF">2026-08-21T13:27:00Z</dcterms:created>
  <dcterms:modified xsi:type="dcterms:W3CDTF">2026-08-21T13:27:00Z</dcterms:modified>
</cp:coreProperties>
</file>