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13728" w14:textId="77777777" w:rsidR="00274259" w:rsidRDefault="00CD3C08">
      <w:pPr>
        <w:jc w:val="center"/>
        <w:rPr>
          <w:rFonts w:ascii="Times New Roman" w:hAnsi="Times New Roman"/>
          <w:b/>
          <w:bCs/>
          <w:color w:val="000000" w:themeColor="text1"/>
          <w:sz w:val="28"/>
          <w:szCs w:val="28"/>
        </w:rPr>
      </w:pPr>
      <w:bookmarkStart w:id="0" w:name="_GoBack"/>
      <w:bookmarkEnd w:id="0"/>
      <w:r>
        <w:rPr>
          <w:rFonts w:ascii="Times New Roman" w:hAnsi="Times New Roman"/>
          <w:b/>
          <w:bCs/>
          <w:color w:val="000000" w:themeColor="text1"/>
          <w:sz w:val="28"/>
          <w:szCs w:val="28"/>
        </w:rPr>
        <w:t xml:space="preserve">ПОРІВНЯЛЬНА ТАБЛИЦЯ </w:t>
      </w:r>
    </w:p>
    <w:p w14:paraId="630DC7AE" w14:textId="77777777" w:rsidR="00274259" w:rsidRDefault="00CD3C08">
      <w:pPr>
        <w:jc w:val="center"/>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до проєкту Закону України «Про внесення деяких змін до Закону України «Про регулювання містобудівної діяльності» щодо визначення строків оскарження дозвільних документів»</w:t>
      </w:r>
    </w:p>
    <w:p w14:paraId="22B2495C" w14:textId="77777777" w:rsidR="00274259" w:rsidRDefault="00274259">
      <w:pPr>
        <w:keepLines/>
        <w:widowControl w:val="0"/>
        <w:jc w:val="both"/>
        <w:rPr>
          <w:rFonts w:ascii="Times New Roman" w:hAnsi="Times New Roman"/>
          <w:b/>
          <w:bCs/>
          <w:color w:val="000000" w:themeColor="text1"/>
          <w:sz w:val="28"/>
          <w:szCs w:val="28"/>
        </w:rPr>
      </w:pPr>
    </w:p>
    <w:tbl>
      <w:tblPr>
        <w:tblStyle w:val="af2"/>
        <w:tblW w:w="148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20"/>
        <w:gridCol w:w="7654"/>
      </w:tblGrid>
      <w:tr w:rsidR="00274259" w14:paraId="0805DAB2" w14:textId="77777777">
        <w:tc>
          <w:tcPr>
            <w:tcW w:w="7220" w:type="dxa"/>
            <w:tcMar>
              <w:top w:w="100" w:type="dxa"/>
              <w:left w:w="100" w:type="dxa"/>
              <w:bottom w:w="100" w:type="dxa"/>
              <w:right w:w="100" w:type="dxa"/>
            </w:tcMar>
          </w:tcPr>
          <w:p w14:paraId="2CB51E86" w14:textId="77777777" w:rsidR="00274259" w:rsidRDefault="00CD3C08">
            <w:pPr>
              <w:pStyle w:val="a9"/>
              <w:spacing w:before="0" w:beforeAutospacing="0" w:after="0" w:afterAutospacing="0"/>
              <w:jc w:val="center"/>
              <w:rPr>
                <w:b/>
                <w:bCs/>
                <w:color w:val="000000" w:themeColor="text1"/>
                <w:sz w:val="28"/>
                <w:szCs w:val="28"/>
              </w:rPr>
            </w:pPr>
            <w:r>
              <w:rPr>
                <w:b/>
                <w:bCs/>
                <w:color w:val="000000" w:themeColor="text1"/>
                <w:sz w:val="28"/>
                <w:szCs w:val="28"/>
              </w:rPr>
              <w:t>Зміст положення (норми) чинного законодавства</w:t>
            </w:r>
          </w:p>
        </w:tc>
        <w:tc>
          <w:tcPr>
            <w:tcW w:w="7654" w:type="dxa"/>
            <w:tcMar>
              <w:top w:w="100" w:type="dxa"/>
              <w:left w:w="100" w:type="dxa"/>
              <w:bottom w:w="100" w:type="dxa"/>
              <w:right w:w="100" w:type="dxa"/>
            </w:tcMar>
          </w:tcPr>
          <w:p w14:paraId="3B60B4D3" w14:textId="77777777" w:rsidR="00274259" w:rsidRDefault="00CD3C08">
            <w:pPr>
              <w:pStyle w:val="a9"/>
              <w:spacing w:before="0" w:beforeAutospacing="0" w:after="0" w:afterAutospacing="0"/>
              <w:jc w:val="center"/>
              <w:rPr>
                <w:b/>
                <w:bCs/>
                <w:color w:val="000000" w:themeColor="text1"/>
                <w:sz w:val="28"/>
                <w:szCs w:val="28"/>
              </w:rPr>
            </w:pPr>
            <w:r>
              <w:rPr>
                <w:b/>
                <w:bCs/>
                <w:color w:val="000000" w:themeColor="text1"/>
                <w:sz w:val="28"/>
                <w:szCs w:val="28"/>
              </w:rPr>
              <w:t>Зміст відповідного положення (норми) проекту Закону</w:t>
            </w:r>
          </w:p>
        </w:tc>
      </w:tr>
      <w:tr w:rsidR="00274259" w14:paraId="673F7531" w14:textId="77777777">
        <w:trPr>
          <w:trHeight w:val="440"/>
        </w:trPr>
        <w:tc>
          <w:tcPr>
            <w:tcW w:w="14874" w:type="dxa"/>
            <w:gridSpan w:val="2"/>
            <w:tcMar>
              <w:top w:w="100" w:type="dxa"/>
              <w:left w:w="100" w:type="dxa"/>
              <w:bottom w:w="100" w:type="dxa"/>
              <w:right w:w="100" w:type="dxa"/>
            </w:tcMar>
          </w:tcPr>
          <w:p w14:paraId="63A3A28C" w14:textId="77777777" w:rsidR="00274259" w:rsidRDefault="00CD3C08">
            <w:pPr>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Закон України «Про регулювання містобудівної діяльності» </w:t>
            </w:r>
          </w:p>
          <w:p w14:paraId="179FC46E" w14:textId="77777777" w:rsidR="00274259" w:rsidRDefault="00CD3C08">
            <w:pPr>
              <w:jc w:val="center"/>
              <w:rPr>
                <w:rFonts w:ascii="Times New Roman" w:hAnsi="Times New Roman"/>
                <w:color w:val="000000" w:themeColor="text1"/>
                <w:sz w:val="28"/>
                <w:szCs w:val="28"/>
              </w:rPr>
            </w:pPr>
            <w:r>
              <w:rPr>
                <w:rFonts w:ascii="Times New Roman" w:hAnsi="Times New Roman"/>
                <w:color w:val="000000" w:themeColor="text1"/>
                <w:sz w:val="28"/>
                <w:szCs w:val="28"/>
              </w:rPr>
              <w:t>від 17 лютого 2011 року № 3038-VI</w:t>
            </w:r>
          </w:p>
        </w:tc>
      </w:tr>
      <w:tr w:rsidR="00274259" w14:paraId="2944CB19" w14:textId="77777777">
        <w:tc>
          <w:tcPr>
            <w:tcW w:w="7220" w:type="dxa"/>
            <w:tcMar>
              <w:top w:w="100" w:type="dxa"/>
              <w:left w:w="100" w:type="dxa"/>
              <w:bottom w:w="100" w:type="dxa"/>
              <w:right w:w="100" w:type="dxa"/>
            </w:tcMar>
          </w:tcPr>
          <w:p w14:paraId="087FD2B6"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b/>
                <w:bCs/>
                <w:color w:val="000000" w:themeColor="text1"/>
                <w:sz w:val="28"/>
                <w:szCs w:val="28"/>
                <w:highlight w:val="white"/>
              </w:rPr>
              <w:t>Стаття 29.</w:t>
            </w:r>
            <w:r>
              <w:rPr>
                <w:rFonts w:ascii="Times New Roman" w:hAnsi="Times New Roman"/>
                <w:color w:val="000000" w:themeColor="text1"/>
                <w:sz w:val="28"/>
                <w:szCs w:val="28"/>
                <w:highlight w:val="white"/>
              </w:rPr>
              <w:t xml:space="preserve"> Вихідні дані</w:t>
            </w:r>
          </w:p>
          <w:p w14:paraId="2AC357E6"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w:t>
            </w:r>
          </w:p>
          <w:p w14:paraId="230FECD8"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8. Містобудівні умови та обмеження є чинними до завершення будівництва об’єкта незалежно від зміни замовника.</w:t>
            </w:r>
          </w:p>
          <w:p w14:paraId="34FDEF97"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Внесення змін до містобудівних умов та обмежень може здійснювати орган, що їх надав, за заявою замовника або за рішенням адміністративного суду.</w:t>
            </w:r>
          </w:p>
          <w:p w14:paraId="0CDD3486"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Припинення дії містобудівних умов та обмежень здійснюється шляхом:</w:t>
            </w:r>
          </w:p>
          <w:p w14:paraId="1D34A2CB"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1) відкликання за заявою замовника;</w:t>
            </w:r>
          </w:p>
          <w:p w14:paraId="0755FC5F"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2) скасування за рішенням адміністративного суду.</w:t>
            </w:r>
          </w:p>
          <w:p w14:paraId="08BF8BF3"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 xml:space="preserve">У разі скасування за рішенням адміністративного суду </w:t>
            </w:r>
            <w:r>
              <w:rPr>
                <w:rFonts w:ascii="Times New Roman" w:hAnsi="Times New Roman"/>
                <w:color w:val="000000" w:themeColor="text1"/>
                <w:sz w:val="28"/>
                <w:szCs w:val="28"/>
                <w:highlight w:val="white"/>
              </w:rPr>
              <w:lastRenderedPageBreak/>
              <w:t>містобудівних умов та обмежень посадові особи відповідного уповноваженого органу містобудування та архітектури несуть відповідальність згідно із законом.</w:t>
            </w:r>
          </w:p>
          <w:p w14:paraId="3768AF09"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rPr>
              <w:t>Абзац відсутній</w:t>
            </w:r>
          </w:p>
          <w:p w14:paraId="460FCA3B"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66CE0ABB"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097E84D9"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rPr>
              <w:t>Абзац відсутній</w:t>
            </w:r>
          </w:p>
          <w:p w14:paraId="55BB354C"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09F894DB"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20734CC8"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0255697B"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21BC387A"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rPr>
              <w:t>Абзац відсутній</w:t>
            </w:r>
          </w:p>
        </w:tc>
        <w:tc>
          <w:tcPr>
            <w:tcW w:w="7654" w:type="dxa"/>
            <w:tcMar>
              <w:top w:w="100" w:type="dxa"/>
              <w:left w:w="100" w:type="dxa"/>
              <w:bottom w:w="100" w:type="dxa"/>
              <w:right w:w="100" w:type="dxa"/>
            </w:tcMar>
          </w:tcPr>
          <w:p w14:paraId="4CCF5AEB"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b/>
                <w:bCs/>
                <w:color w:val="000000" w:themeColor="text1"/>
                <w:sz w:val="28"/>
                <w:szCs w:val="28"/>
                <w:highlight w:val="white"/>
              </w:rPr>
              <w:lastRenderedPageBreak/>
              <w:t>Стаття 29.</w:t>
            </w:r>
            <w:r>
              <w:rPr>
                <w:rFonts w:ascii="Times New Roman" w:hAnsi="Times New Roman"/>
                <w:color w:val="000000" w:themeColor="text1"/>
                <w:sz w:val="28"/>
                <w:szCs w:val="28"/>
                <w:highlight w:val="white"/>
              </w:rPr>
              <w:t xml:space="preserve"> Вихідні дані</w:t>
            </w:r>
          </w:p>
          <w:p w14:paraId="49DFB57F"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w:t>
            </w:r>
          </w:p>
          <w:p w14:paraId="2642B7F5"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8. Містобудівні умови та обмеження є чинними до завершення будівництва об’єкта незалежно від зміни замовника.</w:t>
            </w:r>
          </w:p>
          <w:p w14:paraId="6897FE47"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Внесення змін до містобудівних умов та обмежень може здійснювати орган, що їх надав, за заявою замовника або за рішенням адміністративного суду.</w:t>
            </w:r>
          </w:p>
          <w:p w14:paraId="2A02E68D"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Припинення дії містобудівних умов та обмежень здійснюється шляхом:</w:t>
            </w:r>
          </w:p>
          <w:p w14:paraId="4C537342"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1) відкликання за заявою замовника;</w:t>
            </w:r>
          </w:p>
          <w:p w14:paraId="3879821E"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2) скасування за рішенням адміністративного суду.</w:t>
            </w:r>
          </w:p>
          <w:p w14:paraId="28819C41"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rPr>
            </w:pPr>
            <w:r>
              <w:rPr>
                <w:rFonts w:ascii="Times New Roman" w:hAnsi="Times New Roman"/>
                <w:color w:val="000000" w:themeColor="text1"/>
                <w:sz w:val="28"/>
                <w:szCs w:val="28"/>
                <w:highlight w:val="white"/>
              </w:rPr>
              <w:t xml:space="preserve">У разі скасування за рішенням адміністративного суду містобудівних умов та обмежень посадові особи відповідного </w:t>
            </w:r>
            <w:r>
              <w:rPr>
                <w:rFonts w:ascii="Times New Roman" w:hAnsi="Times New Roman"/>
                <w:color w:val="000000" w:themeColor="text1"/>
                <w:sz w:val="28"/>
                <w:szCs w:val="28"/>
                <w:highlight w:val="white"/>
              </w:rPr>
              <w:lastRenderedPageBreak/>
              <w:t>уповноваженого органу містобудування та архітектури несуть відповідальність згідно із законом.</w:t>
            </w:r>
          </w:p>
          <w:p w14:paraId="0F543DE9" w14:textId="77777777" w:rsidR="00274259" w:rsidRDefault="00274259">
            <w:pPr>
              <w:spacing w:after="120"/>
              <w:jc w:val="both"/>
              <w:rPr>
                <w:rFonts w:ascii="Times New Roman" w:hAnsi="Times New Roman"/>
                <w:b/>
                <w:bCs/>
                <w:color w:val="000000" w:themeColor="text1"/>
                <w:sz w:val="28"/>
                <w:szCs w:val="28"/>
                <w:lang w:val="uk-UA"/>
              </w:rPr>
            </w:pPr>
          </w:p>
          <w:p w14:paraId="2DD7D462" w14:textId="77777777" w:rsidR="00274259" w:rsidRDefault="00CD3C08">
            <w:pPr>
              <w:spacing w:after="12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Позов про скасування містобудівних умов та обмежень може бути подано протягом шести місяців з дати отримання права на виконання будівельних робіт.</w:t>
            </w:r>
          </w:p>
          <w:p w14:paraId="4BFB8B0B" w14:textId="77777777" w:rsidR="00274259" w:rsidRDefault="00CD3C08">
            <w:pPr>
              <w:spacing w:after="12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w:t>
            </w:r>
            <w:r>
              <w:rPr>
                <w:rFonts w:ascii="Times New Roman" w:hAnsi="Times New Roman"/>
                <w:b/>
                <w:bCs/>
                <w:color w:val="000000" w:themeColor="text1"/>
                <w:sz w:val="28"/>
                <w:szCs w:val="28"/>
                <w:highlight w:val="white"/>
              </w:rPr>
              <w:t>У разі внесення змін до містобудівних умов та обмежень після отримання права на виконання будівельних робіт, строк звернення до суду з позовом про скасування цих містобудівних умов та обмежень становить шість місяців з дати реєстрації повідомлення про коригування проектної документації.</w:t>
            </w:r>
          </w:p>
          <w:p w14:paraId="0C11FDDD" w14:textId="77777777" w:rsidR="00274259" w:rsidRDefault="00CD3C08">
            <w:pPr>
              <w:widowControl w:val="0"/>
              <w:spacing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t>Строк звернення до суду з позовом про скасування містобудівних умов та обмежень не може бути поновлено.</w:t>
            </w:r>
          </w:p>
        </w:tc>
      </w:tr>
      <w:tr w:rsidR="00274259" w14:paraId="71162076" w14:textId="77777777">
        <w:tc>
          <w:tcPr>
            <w:tcW w:w="7220" w:type="dxa"/>
            <w:tcMar>
              <w:top w:w="100" w:type="dxa"/>
              <w:left w:w="100" w:type="dxa"/>
              <w:bottom w:w="100" w:type="dxa"/>
              <w:right w:w="100" w:type="dxa"/>
            </w:tcMar>
          </w:tcPr>
          <w:p w14:paraId="4F304051"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lang w:val="uk-UA"/>
              </w:rPr>
            </w:pPr>
            <w:r>
              <w:rPr>
                <w:rFonts w:ascii="Times New Roman" w:hAnsi="Times New Roman"/>
                <w:b/>
                <w:bCs/>
                <w:color w:val="000000" w:themeColor="text1"/>
                <w:sz w:val="28"/>
                <w:szCs w:val="28"/>
                <w:highlight w:val="white"/>
              </w:rPr>
              <w:lastRenderedPageBreak/>
              <w:t>Стаття 34.</w:t>
            </w:r>
            <w:r>
              <w:rPr>
                <w:rFonts w:ascii="Times New Roman" w:hAnsi="Times New Roman"/>
                <w:color w:val="000000" w:themeColor="text1"/>
                <w:sz w:val="28"/>
                <w:szCs w:val="28"/>
                <w:highlight w:val="white"/>
              </w:rPr>
              <w:t xml:space="preserve"> Право на виконання будівельних робіт</w:t>
            </w:r>
          </w:p>
          <w:p w14:paraId="09205326"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lang w:val="uk-UA"/>
              </w:rPr>
              <w:t>…</w:t>
            </w:r>
          </w:p>
          <w:p w14:paraId="3822859D"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6. Інформація про документ, що дає право на виконання будівельних робіт, а також відомості про клас наслідків (відповідальності) об'єкта, ідентифікатор об'єкта будівництва (закінченого будівництвом об'єкта), </w:t>
            </w:r>
            <w:r>
              <w:rPr>
                <w:rFonts w:ascii="Times New Roman" w:hAnsi="Times New Roman"/>
                <w:color w:val="000000" w:themeColor="text1"/>
                <w:sz w:val="28"/>
                <w:szCs w:val="28"/>
                <w:lang w:val="uk-UA"/>
              </w:rPr>
              <w:lastRenderedPageBreak/>
              <w:t>замовника та підрядників розміщуються на відповідному стенді, який встановлюється на будівельному майданчику в доступному для огляду місці (крім індивідуальних (садибних) житлових будинків, садових, дачних будинків, господарських (присадибних) будівель і споруд, прибудов до них).</w:t>
            </w:r>
          </w:p>
          <w:p w14:paraId="1F6CA357"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lang w:val="uk-UA"/>
              </w:rPr>
              <w:t>…</w:t>
            </w:r>
          </w:p>
          <w:p w14:paraId="25C30923"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464256F6"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r>
              <w:rPr>
                <w:rFonts w:ascii="Times New Roman" w:hAnsi="Times New Roman"/>
                <w:b/>
                <w:color w:val="000000" w:themeColor="dark1"/>
                <w:sz w:val="28"/>
                <w:highlight w:val="white"/>
                <w:lang w:val="uk-UA"/>
              </w:rPr>
              <w:t>Частина відсутня.</w:t>
            </w:r>
          </w:p>
        </w:tc>
        <w:tc>
          <w:tcPr>
            <w:tcW w:w="7654" w:type="dxa"/>
            <w:tcMar>
              <w:top w:w="100" w:type="dxa"/>
              <w:left w:w="100" w:type="dxa"/>
              <w:bottom w:w="100" w:type="dxa"/>
              <w:right w:w="100" w:type="dxa"/>
            </w:tcMar>
          </w:tcPr>
          <w:p w14:paraId="7A0EEDA3"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lang w:val="uk-UA"/>
              </w:rPr>
            </w:pPr>
            <w:r>
              <w:rPr>
                <w:rFonts w:ascii="Times New Roman" w:hAnsi="Times New Roman"/>
                <w:b/>
                <w:bCs/>
                <w:color w:val="000000" w:themeColor="text1"/>
                <w:sz w:val="28"/>
                <w:szCs w:val="28"/>
                <w:highlight w:val="white"/>
              </w:rPr>
              <w:lastRenderedPageBreak/>
              <w:t>Стаття 34.</w:t>
            </w:r>
            <w:r>
              <w:rPr>
                <w:rFonts w:ascii="Times New Roman" w:hAnsi="Times New Roman"/>
                <w:color w:val="000000" w:themeColor="text1"/>
                <w:sz w:val="28"/>
                <w:szCs w:val="28"/>
                <w:highlight w:val="white"/>
              </w:rPr>
              <w:t xml:space="preserve"> Право на виконання будівельних робіт </w:t>
            </w:r>
          </w:p>
          <w:p w14:paraId="29BF70FD"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b/>
                <w:bCs/>
                <w:color w:val="000000" w:themeColor="text1"/>
                <w:sz w:val="28"/>
                <w:szCs w:val="28"/>
                <w:highlight w:val="white"/>
                <w:lang w:val="uk-UA"/>
              </w:rPr>
              <w:t>…</w:t>
            </w:r>
          </w:p>
          <w:p w14:paraId="305E6D9B"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6. Інформація про документ, що дає право на виконання будівельних робіт, а також відомості про клас наслідків (відповідальності) об'єкта, ідентифікатор об'єкта будівництва (закінченого будівництвом об'єкта), замовника та підрядників </w:t>
            </w:r>
            <w:r>
              <w:rPr>
                <w:rFonts w:ascii="Times New Roman" w:hAnsi="Times New Roman"/>
                <w:color w:val="000000" w:themeColor="text1"/>
                <w:sz w:val="28"/>
                <w:szCs w:val="28"/>
                <w:lang w:val="uk-UA"/>
              </w:rPr>
              <w:lastRenderedPageBreak/>
              <w:t>розміщуються на відповідному стенді, який встановлюється на будівельному майданчику в доступному для огляду місці (крім індивідуальних (садибних) житлових будинків, садових, дачних будинків, господарських (присадибних) будівель і споруд, прибудов до них).</w:t>
            </w:r>
          </w:p>
          <w:p w14:paraId="319FA907"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lang w:val="uk-UA"/>
              </w:rPr>
            </w:pPr>
          </w:p>
          <w:p w14:paraId="55244397"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w:t>
            </w:r>
          </w:p>
          <w:p w14:paraId="6B41CDB9"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8. Позов про припинення права на виконання будівельних робіт, у тому числі про скасування документів, що надають таке право, може бути подано протягом шести місяців з дати отримання права на виконання будівельних робіт.</w:t>
            </w:r>
          </w:p>
          <w:p w14:paraId="567E1230" w14:textId="77777777" w:rsidR="00274259" w:rsidRDefault="00CD3C08">
            <w:pPr>
              <w:widowControl w:val="0"/>
              <w:spacing w:line="240" w:lineRule="auto"/>
              <w:jc w:val="both"/>
              <w:rPr>
                <w:rFonts w:ascii="Times New Roman" w:hAnsi="Times New Roman"/>
                <w:b/>
                <w:bCs/>
                <w:color w:val="000000" w:themeColor="text1"/>
                <w:sz w:val="28"/>
                <w:szCs w:val="28"/>
              </w:rPr>
            </w:pPr>
            <w:r>
              <w:rPr>
                <w:rFonts w:ascii="Times New Roman" w:hAnsi="Times New Roman"/>
                <w:b/>
                <w:bCs/>
                <w:color w:val="000000" w:themeColor="text1"/>
                <w:sz w:val="28"/>
                <w:szCs w:val="28"/>
                <w:highlight w:val="white"/>
              </w:rPr>
              <w:t>У разі коригування проектної документації у зв’язку з отриманням нових містобудівних умов та обмежень забудови земельної ділянки, строк звернення до суду з позовом про припинення права на виконання будівельних робіт становить шість місяців з дати реєстрації в Реєстрі будівельної діяльності повідомлення про таке коригування.</w:t>
            </w:r>
          </w:p>
          <w:p w14:paraId="3D8CAF80" w14:textId="77777777" w:rsidR="00274259" w:rsidRDefault="00274259">
            <w:pPr>
              <w:widowControl w:val="0"/>
              <w:spacing w:line="240" w:lineRule="auto"/>
              <w:rPr>
                <w:rFonts w:ascii="Times New Roman" w:hAnsi="Times New Roman"/>
                <w:b/>
                <w:bCs/>
                <w:color w:val="000000" w:themeColor="text1"/>
                <w:sz w:val="28"/>
                <w:szCs w:val="28"/>
              </w:rPr>
            </w:pPr>
          </w:p>
          <w:p w14:paraId="5935A933" w14:textId="77777777" w:rsidR="00274259" w:rsidRDefault="00CD3C08">
            <w:pPr>
              <w:widowControl w:val="0"/>
              <w:spacing w:line="240" w:lineRule="auto"/>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Строк звернення до суду з позовом про припинення права на виконання будівельних робіт не може бути поновлено.</w:t>
            </w:r>
          </w:p>
          <w:p w14:paraId="7AA8F259" w14:textId="77777777" w:rsidR="00274259" w:rsidRDefault="00274259">
            <w:pPr>
              <w:widowControl w:val="0"/>
              <w:spacing w:line="240" w:lineRule="auto"/>
              <w:rPr>
                <w:rFonts w:ascii="Times New Roman" w:hAnsi="Times New Roman"/>
                <w:b/>
                <w:bCs/>
                <w:color w:val="000000" w:themeColor="text1"/>
                <w:sz w:val="28"/>
                <w:szCs w:val="28"/>
                <w:highlight w:val="yellow"/>
              </w:rPr>
            </w:pPr>
          </w:p>
          <w:p w14:paraId="3E6644F5" w14:textId="77777777" w:rsidR="00274259" w:rsidRDefault="00CD3C08">
            <w:pPr>
              <w:widowControl w:val="0"/>
              <w:spacing w:line="240" w:lineRule="auto"/>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 xml:space="preserve">У разі виявлення в межах строку </w:t>
            </w:r>
            <w:r>
              <w:rPr>
                <w:rFonts w:ascii="Times New Roman" w:hAnsi="Times New Roman"/>
                <w:b/>
                <w:bCs/>
                <w:color w:val="000000" w:themeColor="text1"/>
                <w:sz w:val="28"/>
                <w:szCs w:val="28"/>
              </w:rPr>
              <w:t xml:space="preserve">звернення до суду з </w:t>
            </w:r>
            <w:r>
              <w:rPr>
                <w:rFonts w:ascii="Times New Roman" w:hAnsi="Times New Roman"/>
                <w:b/>
                <w:bCs/>
                <w:color w:val="000000" w:themeColor="text1"/>
                <w:sz w:val="28"/>
                <w:szCs w:val="28"/>
              </w:rPr>
              <w:lastRenderedPageBreak/>
              <w:t xml:space="preserve">позовом про припинення права на виконання будівельних робіт </w:t>
            </w:r>
            <w:r>
              <w:rPr>
                <w:rFonts w:ascii="Times New Roman" w:hAnsi="Times New Roman"/>
                <w:b/>
                <w:bCs/>
                <w:color w:val="000000" w:themeColor="text1"/>
                <w:sz w:val="28"/>
                <w:szCs w:val="28"/>
                <w:highlight w:val="white"/>
              </w:rPr>
              <w:t>відповідним органом державного архітектурно-будівельного контролю за результатами перевірки</w:t>
            </w:r>
            <w:r>
              <w:rPr>
                <w:rFonts w:ascii="Times New Roman" w:hAnsi="Times New Roman"/>
                <w:b/>
                <w:bCs/>
                <w:color w:val="000000" w:themeColor="text1"/>
                <w:sz w:val="28"/>
                <w:szCs w:val="28"/>
              </w:rPr>
              <w:t xml:space="preserve"> </w:t>
            </w:r>
            <w:r>
              <w:rPr>
                <w:rFonts w:ascii="Times New Roman" w:hAnsi="Times New Roman"/>
                <w:b/>
                <w:bCs/>
                <w:color w:val="000000" w:themeColor="text1"/>
                <w:sz w:val="28"/>
                <w:szCs w:val="28"/>
                <w:highlight w:val="white"/>
              </w:rPr>
              <w:t>порушення вимог законодавства у сфері містобудівної діяльності, будівельних норм і правил, строк, передбачений частиною восьмою цієї статті, зупиняється  до моменту усунення такого порушення, визначеного у приписі про усунення порушення вимог законодавства у сфері містобудівної діяльності, будівельних норм і правил</w:t>
            </w:r>
            <w:r>
              <w:rPr>
                <w:rFonts w:ascii="Times New Roman" w:hAnsi="Times New Roman"/>
                <w:color w:val="000000" w:themeColor="text1"/>
                <w:sz w:val="28"/>
                <w:szCs w:val="28"/>
                <w:lang w:val="uk-UA"/>
              </w:rPr>
              <w:t xml:space="preserve">, </w:t>
            </w:r>
            <w:r>
              <w:rPr>
                <w:rFonts w:ascii="Times New Roman" w:hAnsi="Times New Roman"/>
                <w:b/>
                <w:bCs/>
                <w:color w:val="000000" w:themeColor="text1"/>
                <w:sz w:val="28"/>
                <w:szCs w:val="28"/>
                <w:lang w:val="uk-UA"/>
              </w:rPr>
              <w:t>крім випадків передбачених цим Законом</w:t>
            </w:r>
            <w:r>
              <w:rPr>
                <w:rFonts w:ascii="Times New Roman" w:hAnsi="Times New Roman"/>
                <w:b/>
                <w:bCs/>
                <w:color w:val="000000" w:themeColor="text1"/>
                <w:sz w:val="28"/>
                <w:szCs w:val="28"/>
                <w:highlight w:val="white"/>
              </w:rPr>
              <w:t>.</w:t>
            </w:r>
          </w:p>
          <w:p w14:paraId="747031F5" w14:textId="77777777" w:rsidR="00274259" w:rsidRDefault="00CD3C08">
            <w:pPr>
              <w:pStyle w:val="a9"/>
              <w:jc w:val="both"/>
              <w:rPr>
                <w:b/>
                <w:bCs/>
                <w:sz w:val="28"/>
                <w:szCs w:val="28"/>
              </w:rPr>
            </w:pPr>
            <w:r>
              <w:rPr>
                <w:b/>
                <w:bCs/>
                <w:sz w:val="28"/>
                <w:szCs w:val="28"/>
              </w:rPr>
              <w:t>Строк, передбачений цією частиною, застосовується за умови повідомлення відповідного органу державного архітектурно-будівельного контролю через електронну систему про огородження будівельного майданчика та/або розміщення на будівельному майданчику в доступному для огляду місці стенду з інформацією, передбаченою частиною шостою цієї статті. Таке повідомлення подається не пізніше ніж через один місяць з дня набуття права на виконання будівельних робіт.</w:t>
            </w:r>
            <w:r>
              <w:rPr>
                <w:b/>
                <w:bCs/>
                <w:color w:val="000000" w:themeColor="text1"/>
                <w:sz w:val="28"/>
                <w:szCs w:val="28"/>
              </w:rPr>
              <w:t xml:space="preserve"> </w:t>
            </w:r>
          </w:p>
          <w:p w14:paraId="0F3984BC" w14:textId="77777777" w:rsidR="00274259" w:rsidRDefault="00CD3C08">
            <w:pPr>
              <w:widowControl w:val="0"/>
              <w:spacing w:line="240" w:lineRule="auto"/>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Строк, передбачений цією частиною</w:t>
            </w:r>
            <w:r>
              <w:rPr>
                <w:rFonts w:ascii="Times New Roman" w:hAnsi="Times New Roman"/>
                <w:b/>
                <w:bCs/>
                <w:color w:val="000000" w:themeColor="text1"/>
                <w:sz w:val="28"/>
                <w:szCs w:val="28"/>
                <w:highlight w:val="white"/>
                <w:lang w:val="uk-UA"/>
              </w:rPr>
              <w:t>,</w:t>
            </w:r>
            <w:r>
              <w:rPr>
                <w:rFonts w:ascii="Times New Roman" w:hAnsi="Times New Roman"/>
                <w:b/>
                <w:bCs/>
                <w:color w:val="000000" w:themeColor="text1"/>
                <w:sz w:val="28"/>
                <w:szCs w:val="28"/>
                <w:highlight w:val="white"/>
              </w:rPr>
              <w:t xml:space="preserve"> не застосовується щодо випадків виявлення факту самочинного будівництва об’єкта.</w:t>
            </w:r>
          </w:p>
          <w:p w14:paraId="2CA5D62C" w14:textId="77777777" w:rsidR="00274259" w:rsidRDefault="00274259">
            <w:pPr>
              <w:spacing w:after="120"/>
              <w:jc w:val="both"/>
              <w:rPr>
                <w:rFonts w:ascii="Times New Roman" w:hAnsi="Times New Roman"/>
                <w:b/>
                <w:bCs/>
                <w:color w:val="000000" w:themeColor="text1"/>
                <w:sz w:val="28"/>
                <w:szCs w:val="28"/>
              </w:rPr>
            </w:pPr>
          </w:p>
        </w:tc>
      </w:tr>
      <w:tr w:rsidR="00274259" w14:paraId="28B3BB64" w14:textId="77777777">
        <w:tc>
          <w:tcPr>
            <w:tcW w:w="7220" w:type="dxa"/>
            <w:tcMar>
              <w:top w:w="100" w:type="dxa"/>
              <w:left w:w="100" w:type="dxa"/>
              <w:bottom w:w="100" w:type="dxa"/>
              <w:right w:w="100" w:type="dxa"/>
            </w:tcMar>
          </w:tcPr>
          <w:p w14:paraId="78E83DD5"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b/>
                <w:bCs/>
                <w:color w:val="000000" w:themeColor="text1"/>
                <w:sz w:val="28"/>
                <w:szCs w:val="28"/>
                <w:highlight w:val="white"/>
              </w:rPr>
              <w:lastRenderedPageBreak/>
              <w:t>Стаття 37. Дозвіл на виконання будівельних робіт</w:t>
            </w:r>
          </w:p>
          <w:p w14:paraId="00991509"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w:t>
            </w:r>
          </w:p>
          <w:p w14:paraId="0BC8A91A"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6. Дія дозволу на виконання будівельних робіт може бути припинена органом державного архітектурно-будівельного контролю у разі:</w:t>
            </w:r>
          </w:p>
          <w:p w14:paraId="2C0C1214"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1) подання замовником заяви про припинення дії дозволу на виконання будівельних робіт;</w:t>
            </w:r>
          </w:p>
          <w:p w14:paraId="661E611E"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2) наявності відомостей про ліквідацію юридичної особи, що є замовником;</w:t>
            </w:r>
          </w:p>
          <w:p w14:paraId="3680A7E9"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на підставі судового рішення, що набрало законної сили, про </w:t>
            </w:r>
            <w:r>
              <w:rPr>
                <w:rFonts w:ascii="Times New Roman" w:hAnsi="Times New Roman"/>
                <w:b/>
                <w:bCs/>
                <w:strike/>
                <w:color w:val="000000" w:themeColor="text1"/>
                <w:sz w:val="28"/>
                <w:szCs w:val="28"/>
              </w:rPr>
              <w:t>скасування містобудівних умов та обмежень та/або</w:t>
            </w:r>
            <w:r>
              <w:rPr>
                <w:rFonts w:ascii="Times New Roman" w:hAnsi="Times New Roman"/>
                <w:color w:val="000000" w:themeColor="text1"/>
                <w:sz w:val="28"/>
                <w:szCs w:val="28"/>
              </w:rPr>
              <w:t xml:space="preserve"> припинення права на виконання будівельних робіт.</w:t>
            </w:r>
          </w:p>
          <w:p w14:paraId="00B655F0"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Відомості про припинення дії дозволу на виконання будівельних робіт з підстав, визначених </w:t>
            </w:r>
            <w:hyperlink r:id="rId8" w:anchor="n520">
              <w:r>
                <w:rPr>
                  <w:rFonts w:ascii="Times New Roman" w:hAnsi="Times New Roman"/>
                  <w:color w:val="000000" w:themeColor="text1"/>
                  <w:sz w:val="28"/>
                  <w:szCs w:val="28"/>
                  <w:u w:val="single"/>
                </w:rPr>
                <w:t>пунктами 1</w:t>
              </w:r>
            </w:hyperlink>
            <w:r>
              <w:rPr>
                <w:rFonts w:ascii="Times New Roman" w:hAnsi="Times New Roman"/>
                <w:color w:val="000000" w:themeColor="text1"/>
                <w:sz w:val="28"/>
                <w:szCs w:val="28"/>
              </w:rPr>
              <w:t xml:space="preserve"> та </w:t>
            </w:r>
            <w:hyperlink r:id="rId9" w:anchor="n521">
              <w:r>
                <w:rPr>
                  <w:rFonts w:ascii="Times New Roman" w:hAnsi="Times New Roman"/>
                  <w:color w:val="000000" w:themeColor="text1"/>
                  <w:sz w:val="28"/>
                  <w:szCs w:val="28"/>
                  <w:u w:val="single"/>
                </w:rPr>
                <w:t>2</w:t>
              </w:r>
            </w:hyperlink>
            <w:r>
              <w:rPr>
                <w:rFonts w:ascii="Times New Roman" w:hAnsi="Times New Roman"/>
                <w:color w:val="000000" w:themeColor="text1"/>
                <w:sz w:val="28"/>
                <w:szCs w:val="28"/>
              </w:rPr>
              <w:t xml:space="preserve"> цієї частини, включаються до Реєстру будівельної діяльності автоматично з присвоєнням реєстраційного номера в цьому реєстрі та оприлюднюються на порталі електронної системи.</w:t>
            </w:r>
          </w:p>
          <w:p w14:paraId="6E0B85D1"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rPr>
            </w:pPr>
            <w:r>
              <w:rPr>
                <w:rFonts w:ascii="Times New Roman" w:hAnsi="Times New Roman"/>
                <w:color w:val="000000" w:themeColor="text1"/>
                <w:sz w:val="28"/>
                <w:szCs w:val="28"/>
              </w:rPr>
              <w:t>Дія дозволу на виконання будівельних робіт вважається припиненою з дати внесення відомостей про припинення дії такого дозволу до Реєстру будівельної діяльності.</w:t>
            </w:r>
          </w:p>
        </w:tc>
        <w:tc>
          <w:tcPr>
            <w:tcW w:w="7654" w:type="dxa"/>
            <w:tcMar>
              <w:top w:w="100" w:type="dxa"/>
              <w:left w:w="100" w:type="dxa"/>
              <w:bottom w:w="100" w:type="dxa"/>
              <w:right w:w="100" w:type="dxa"/>
            </w:tcMar>
          </w:tcPr>
          <w:p w14:paraId="4B199485"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rPr>
            </w:pPr>
            <w:r>
              <w:rPr>
                <w:rFonts w:ascii="Times New Roman" w:hAnsi="Times New Roman"/>
                <w:b/>
                <w:bCs/>
                <w:color w:val="000000" w:themeColor="text1"/>
                <w:sz w:val="28"/>
                <w:szCs w:val="28"/>
                <w:highlight w:val="white"/>
              </w:rPr>
              <w:t>Стаття 37. Дозвіл на виконання будівельних робіт</w:t>
            </w:r>
          </w:p>
          <w:p w14:paraId="2F637F6B"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w:t>
            </w:r>
          </w:p>
          <w:p w14:paraId="171C0231"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6. Дія дозволу на виконання будівельних робіт може бути припинена органом державного архітектурно-будівельного контролю у разі:</w:t>
            </w:r>
          </w:p>
          <w:p w14:paraId="288CCEDE"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1) подання замовником заяви про припинення дії дозволу на виконання будівельних робіт;</w:t>
            </w:r>
          </w:p>
          <w:p w14:paraId="3CE8F5E9"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2) наявності відомостей про ліквідацію юридичної особи, що є замовником;</w:t>
            </w:r>
          </w:p>
          <w:p w14:paraId="502ECEA0"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3) на підставі судового рішення, що набрало законної сили, про припинення права на виконання будівельних робіт.</w:t>
            </w:r>
          </w:p>
          <w:p w14:paraId="2EB9A7F1"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p>
          <w:p w14:paraId="236C9DE5"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Відомості про припинення дії дозволу на виконання будівельних робіт з підстав, визначених </w:t>
            </w:r>
            <w:hyperlink r:id="rId10" w:anchor="n520">
              <w:r>
                <w:rPr>
                  <w:rFonts w:ascii="Times New Roman" w:hAnsi="Times New Roman"/>
                  <w:color w:val="000000" w:themeColor="text1"/>
                  <w:sz w:val="28"/>
                  <w:szCs w:val="28"/>
                  <w:u w:val="single"/>
                </w:rPr>
                <w:t>пунктами 1</w:t>
              </w:r>
            </w:hyperlink>
            <w:r>
              <w:rPr>
                <w:rFonts w:ascii="Times New Roman" w:hAnsi="Times New Roman"/>
                <w:color w:val="000000" w:themeColor="text1"/>
                <w:sz w:val="28"/>
                <w:szCs w:val="28"/>
              </w:rPr>
              <w:t xml:space="preserve"> та </w:t>
            </w:r>
            <w:hyperlink r:id="rId11" w:anchor="n521">
              <w:r>
                <w:rPr>
                  <w:rFonts w:ascii="Times New Roman" w:hAnsi="Times New Roman"/>
                  <w:color w:val="000000" w:themeColor="text1"/>
                  <w:sz w:val="28"/>
                  <w:szCs w:val="28"/>
                  <w:u w:val="single"/>
                </w:rPr>
                <w:t>2</w:t>
              </w:r>
            </w:hyperlink>
            <w:r>
              <w:rPr>
                <w:rFonts w:ascii="Times New Roman" w:hAnsi="Times New Roman"/>
                <w:color w:val="000000" w:themeColor="text1"/>
                <w:sz w:val="28"/>
                <w:szCs w:val="28"/>
              </w:rPr>
              <w:t xml:space="preserve"> цієї частини, включаються до Реєстру будівельної діяльності автоматично з присвоєнням реєстраційного номера в цьому реєстрі та оприлюднюються на порталі електронної системи.</w:t>
            </w:r>
          </w:p>
          <w:p w14:paraId="18F22FC3"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rPr>
            </w:pPr>
            <w:r>
              <w:rPr>
                <w:rFonts w:ascii="Times New Roman" w:hAnsi="Times New Roman"/>
                <w:color w:val="000000" w:themeColor="text1"/>
                <w:sz w:val="28"/>
                <w:szCs w:val="28"/>
              </w:rPr>
              <w:t>Дія дозволу на виконання будівельних робіт вважається припиненою з дати внесення відомостей про припинення дії такого дозволу до Реєстру будівельної діяльності.</w:t>
            </w:r>
          </w:p>
          <w:p w14:paraId="1E1F0FF4"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rPr>
            </w:pPr>
          </w:p>
        </w:tc>
      </w:tr>
      <w:tr w:rsidR="00274259" w14:paraId="11E1CD44" w14:textId="77777777">
        <w:tc>
          <w:tcPr>
            <w:tcW w:w="7220" w:type="dxa"/>
            <w:tcMar>
              <w:top w:w="100" w:type="dxa"/>
              <w:left w:w="100" w:type="dxa"/>
              <w:bottom w:w="100" w:type="dxa"/>
              <w:right w:w="100" w:type="dxa"/>
            </w:tcMar>
          </w:tcPr>
          <w:p w14:paraId="1228A434"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b/>
                <w:bCs/>
                <w:color w:val="000000" w:themeColor="text1"/>
                <w:sz w:val="28"/>
                <w:szCs w:val="28"/>
                <w:highlight w:val="white"/>
              </w:rPr>
              <w:t>Стаття 39.</w:t>
            </w:r>
            <w:r>
              <w:rPr>
                <w:rFonts w:ascii="Times New Roman" w:hAnsi="Times New Roman"/>
                <w:color w:val="000000" w:themeColor="text1"/>
                <w:sz w:val="28"/>
                <w:szCs w:val="28"/>
                <w:highlight w:val="white"/>
              </w:rPr>
              <w:t xml:space="preserve"> Прийняття в експлуатацію закінчених будівництвом об’єктів</w:t>
            </w:r>
          </w:p>
          <w:p w14:paraId="3C300D32"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w:t>
            </w:r>
          </w:p>
          <w:p w14:paraId="1A771ABF"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rPr>
              <w:t>Частина відсутня</w:t>
            </w:r>
            <w:r>
              <w:rPr>
                <w:rFonts w:ascii="Times New Roman" w:hAnsi="Times New Roman"/>
                <w:b/>
                <w:bCs/>
                <w:color w:val="000000" w:themeColor="text1"/>
                <w:sz w:val="28"/>
                <w:szCs w:val="28"/>
                <w:highlight w:val="white"/>
                <w:lang w:val="uk-UA"/>
              </w:rPr>
              <w:t>.</w:t>
            </w:r>
          </w:p>
          <w:p w14:paraId="6649D439"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395F6972"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1C5D12FB"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39ADF57C"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61AF68C4"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2153156D"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0B69B17F"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70CAFFC5"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p>
          <w:p w14:paraId="36C30FF8"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rPr>
              <w:t>Частина відсутня</w:t>
            </w:r>
            <w:r>
              <w:rPr>
                <w:rFonts w:ascii="Times New Roman" w:hAnsi="Times New Roman"/>
                <w:b/>
                <w:bCs/>
                <w:color w:val="000000" w:themeColor="text1"/>
                <w:sz w:val="28"/>
                <w:szCs w:val="28"/>
                <w:highlight w:val="white"/>
                <w:lang w:val="uk-UA"/>
              </w:rPr>
              <w:t>.</w:t>
            </w:r>
          </w:p>
        </w:tc>
        <w:tc>
          <w:tcPr>
            <w:tcW w:w="7654" w:type="dxa"/>
            <w:tcMar>
              <w:top w:w="100" w:type="dxa"/>
              <w:left w:w="100" w:type="dxa"/>
              <w:bottom w:w="100" w:type="dxa"/>
              <w:right w:w="100" w:type="dxa"/>
            </w:tcMar>
          </w:tcPr>
          <w:p w14:paraId="74486A0B"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b/>
                <w:bCs/>
                <w:color w:val="000000" w:themeColor="text1"/>
                <w:sz w:val="28"/>
                <w:szCs w:val="28"/>
                <w:highlight w:val="white"/>
              </w:rPr>
              <w:t>Стаття 39.</w:t>
            </w:r>
            <w:r>
              <w:rPr>
                <w:rFonts w:ascii="Times New Roman" w:hAnsi="Times New Roman"/>
                <w:color w:val="000000" w:themeColor="text1"/>
                <w:sz w:val="28"/>
                <w:szCs w:val="28"/>
                <w:highlight w:val="white"/>
              </w:rPr>
              <w:t xml:space="preserve"> Прийняття в експлуатацію закінчених будівництвом об’єктів</w:t>
            </w:r>
          </w:p>
          <w:p w14:paraId="191916BE"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w:t>
            </w:r>
          </w:p>
          <w:p w14:paraId="728A3C7B"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3</w:t>
            </w:r>
            <w:r>
              <w:rPr>
                <w:rFonts w:ascii="Times New Roman" w:hAnsi="Times New Roman"/>
                <w:b/>
                <w:bCs/>
                <w:color w:val="000000" w:themeColor="text1"/>
                <w:sz w:val="28"/>
                <w:szCs w:val="28"/>
                <w:highlight w:val="white"/>
                <w:vertAlign w:val="superscript"/>
              </w:rPr>
              <w:t>1</w:t>
            </w:r>
            <w:r>
              <w:rPr>
                <w:rFonts w:ascii="Times New Roman" w:hAnsi="Times New Roman"/>
                <w:b/>
                <w:bCs/>
                <w:color w:val="000000" w:themeColor="text1"/>
                <w:sz w:val="28"/>
                <w:szCs w:val="28"/>
                <w:highlight w:val="white"/>
                <w:lang w:val="uk-UA"/>
              </w:rPr>
              <w:t>.</w:t>
            </w:r>
            <w:r>
              <w:rPr>
                <w:rFonts w:ascii="Times New Roman" w:hAnsi="Times New Roman"/>
                <w:color w:val="000000" w:themeColor="text1"/>
                <w:sz w:val="28"/>
                <w:szCs w:val="28"/>
                <w:highlight w:val="white"/>
              </w:rPr>
              <w:t xml:space="preserve"> </w:t>
            </w:r>
            <w:r>
              <w:rPr>
                <w:rFonts w:ascii="Times New Roman" w:hAnsi="Times New Roman"/>
                <w:b/>
                <w:bCs/>
                <w:color w:val="000000" w:themeColor="text1"/>
                <w:sz w:val="28"/>
                <w:szCs w:val="28"/>
                <w:highlight w:val="white"/>
              </w:rPr>
              <w:t>Закінчений будівництвом об’єкт не може бути прийнятий в експлуатацію до моменту усунення порушення, визначеного у приписі про усунення порушення вимог законодавства у сфері містобудівної діяльності, будівельних норм і правил</w:t>
            </w:r>
            <w:r>
              <w:rPr>
                <w:rFonts w:ascii="Times New Roman" w:hAnsi="Times New Roman"/>
                <w:color w:val="000000" w:themeColor="text1"/>
                <w:sz w:val="28"/>
                <w:szCs w:val="28"/>
                <w:lang w:val="uk-UA"/>
              </w:rPr>
              <w:t xml:space="preserve">, </w:t>
            </w:r>
            <w:r>
              <w:rPr>
                <w:rFonts w:ascii="Times New Roman" w:hAnsi="Times New Roman"/>
                <w:b/>
                <w:bCs/>
                <w:color w:val="000000" w:themeColor="text1"/>
                <w:sz w:val="28"/>
                <w:szCs w:val="28"/>
                <w:lang w:val="uk-UA"/>
              </w:rPr>
              <w:t>крім випадків передбачених цим Законом</w:t>
            </w:r>
            <w:r>
              <w:rPr>
                <w:rFonts w:ascii="Times New Roman" w:hAnsi="Times New Roman"/>
                <w:b/>
                <w:bCs/>
                <w:color w:val="000000" w:themeColor="text1"/>
                <w:sz w:val="28"/>
                <w:szCs w:val="28"/>
                <w:highlight w:val="white"/>
              </w:rPr>
              <w:t>.</w:t>
            </w:r>
          </w:p>
          <w:p w14:paraId="3C3F2322"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 xml:space="preserve">Зупинення дії припису про усунення порушення вимог законодавства у сфері містобудівної діяльності, будівельних норм і правил не є підставою для прийняття в експлуатацію закінченого будівництвом об’єкта. </w:t>
            </w:r>
          </w:p>
          <w:p w14:paraId="5D33B148"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color w:val="000000" w:themeColor="text1"/>
                <w:sz w:val="28"/>
                <w:szCs w:val="28"/>
                <w:highlight w:val="white"/>
              </w:rPr>
            </w:pPr>
            <w:r>
              <w:rPr>
                <w:rFonts w:ascii="Times New Roman" w:hAnsi="Times New Roman"/>
                <w:color w:val="000000" w:themeColor="text1"/>
                <w:sz w:val="28"/>
                <w:szCs w:val="28"/>
                <w:highlight w:val="white"/>
              </w:rPr>
              <w:t>…</w:t>
            </w:r>
          </w:p>
          <w:p w14:paraId="23250082"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rPr>
            </w:pPr>
            <w:r>
              <w:rPr>
                <w:rFonts w:ascii="Times New Roman" w:hAnsi="Times New Roman"/>
                <w:b/>
                <w:bCs/>
                <w:color w:val="000000" w:themeColor="text1"/>
                <w:sz w:val="28"/>
                <w:szCs w:val="28"/>
                <w:highlight w:val="white"/>
              </w:rPr>
              <w:t xml:space="preserve">14. </w:t>
            </w:r>
            <w:r>
              <w:rPr>
                <w:rFonts w:ascii="Times New Roman" w:hAnsi="Times New Roman"/>
                <w:b/>
                <w:bCs/>
                <w:color w:val="000000" w:themeColor="text1"/>
                <w:sz w:val="28"/>
                <w:szCs w:val="28"/>
              </w:rPr>
              <w:t xml:space="preserve">Позов про скасування </w:t>
            </w:r>
            <w:r>
              <w:rPr>
                <w:rFonts w:ascii="Times New Roman" w:hAnsi="Times New Roman"/>
                <w:b/>
                <w:bCs/>
                <w:color w:val="000000" w:themeColor="text1"/>
                <w:sz w:val="28"/>
                <w:szCs w:val="28"/>
                <w:highlight w:val="white"/>
              </w:rPr>
              <w:t>сертифікат</w:t>
            </w:r>
            <w:r>
              <w:rPr>
                <w:rFonts w:ascii="Times New Roman" w:hAnsi="Times New Roman"/>
                <w:b/>
                <w:bCs/>
                <w:color w:val="000000" w:themeColor="text1"/>
                <w:sz w:val="28"/>
                <w:szCs w:val="28"/>
                <w:highlight w:val="white"/>
                <w:lang w:val="uk-UA"/>
              </w:rPr>
              <w:t>а</w:t>
            </w:r>
            <w:r>
              <w:rPr>
                <w:rFonts w:ascii="Times New Roman" w:hAnsi="Times New Roman"/>
                <w:b/>
                <w:bCs/>
                <w:color w:val="000000" w:themeColor="text1"/>
                <w:sz w:val="28"/>
                <w:szCs w:val="28"/>
                <w:highlight w:val="white"/>
              </w:rPr>
              <w:t xml:space="preserve"> або реєстрації декларації про готовність об’єкта до експлуатації </w:t>
            </w:r>
            <w:r>
              <w:rPr>
                <w:rFonts w:ascii="Times New Roman" w:hAnsi="Times New Roman"/>
                <w:b/>
                <w:bCs/>
                <w:color w:val="000000" w:themeColor="text1"/>
                <w:sz w:val="28"/>
                <w:szCs w:val="28"/>
              </w:rPr>
              <w:t>може бути подано протягом трьох місяців з дати оприлюднення таких документів</w:t>
            </w:r>
            <w:r>
              <w:rPr>
                <w:rFonts w:ascii="Times New Roman" w:hAnsi="Times New Roman"/>
                <w:b/>
                <w:bCs/>
                <w:color w:val="000000" w:themeColor="text1"/>
                <w:sz w:val="28"/>
                <w:szCs w:val="28"/>
                <w:highlight w:val="white"/>
              </w:rPr>
              <w:t xml:space="preserve"> </w:t>
            </w:r>
            <w:r>
              <w:rPr>
                <w:rFonts w:ascii="Times New Roman" w:hAnsi="Times New Roman"/>
                <w:b/>
                <w:bCs/>
                <w:color w:val="000000" w:themeColor="text1"/>
                <w:sz w:val="28"/>
                <w:szCs w:val="28"/>
              </w:rPr>
              <w:t xml:space="preserve">на порталі </w:t>
            </w:r>
            <w:r>
              <w:rPr>
                <w:rFonts w:ascii="Times New Roman" w:hAnsi="Times New Roman"/>
                <w:b/>
                <w:bCs/>
                <w:color w:val="000000" w:themeColor="text1"/>
                <w:sz w:val="28"/>
                <w:szCs w:val="28"/>
                <w:highlight w:val="white"/>
              </w:rPr>
              <w:t>електронної системи</w:t>
            </w:r>
            <w:r>
              <w:rPr>
                <w:rFonts w:ascii="Times New Roman" w:hAnsi="Times New Roman"/>
                <w:b/>
                <w:bCs/>
                <w:color w:val="000000" w:themeColor="text1"/>
                <w:sz w:val="28"/>
                <w:szCs w:val="28"/>
              </w:rPr>
              <w:t xml:space="preserve">. </w:t>
            </w:r>
          </w:p>
          <w:p w14:paraId="5D913D89" w14:textId="77777777" w:rsidR="00274259" w:rsidRDefault="0027425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rPr>
            </w:pPr>
          </w:p>
          <w:p w14:paraId="27F2A775"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Сертифікат може бути скасовано лише з підстав недотримання замовниками, проектувальниками, підрядниками та експертними організаціями законодавства у сфері містобудівної діяльності, будівельних норм і правил під час виконання будівельних робіт</w:t>
            </w:r>
            <w:r>
              <w:rPr>
                <w:rFonts w:ascii="Times New Roman" w:hAnsi="Times New Roman"/>
                <w:b/>
                <w:bCs/>
                <w:color w:val="000000" w:themeColor="text1"/>
                <w:sz w:val="28"/>
                <w:szCs w:val="28"/>
                <w:highlight w:val="white"/>
                <w:lang w:val="uk-UA"/>
              </w:rPr>
              <w:t xml:space="preserve"> </w:t>
            </w:r>
            <w:r>
              <w:rPr>
                <w:rFonts w:ascii="Times New Roman" w:hAnsi="Times New Roman"/>
                <w:b/>
                <w:bCs/>
                <w:color w:val="000000" w:themeColor="text1"/>
                <w:sz w:val="28"/>
                <w:szCs w:val="28"/>
                <w:highlight w:val="white"/>
              </w:rPr>
              <w:t>щодо міцності та надійності об’єкта, що несе реальні ризики загрози життю та здоров’ю людей, національної безпеки, навколишньому природному середовищу.</w:t>
            </w:r>
          </w:p>
          <w:p w14:paraId="230F028E"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rPr>
            </w:pPr>
            <w:r>
              <w:rPr>
                <w:rFonts w:ascii="Times New Roman" w:hAnsi="Times New Roman"/>
                <w:b/>
                <w:bCs/>
                <w:color w:val="000000" w:themeColor="text1"/>
                <w:sz w:val="28"/>
                <w:szCs w:val="28"/>
                <w:highlight w:val="white"/>
              </w:rPr>
              <w:t>Реєстрація декларації про готовність об’єкта до експлуатації може бути скасована лише з підстав, передбачених статтею 39</w:t>
            </w:r>
            <w:r>
              <w:rPr>
                <w:rFonts w:ascii="Times New Roman" w:hAnsi="Times New Roman"/>
                <w:b/>
                <w:bCs/>
                <w:color w:val="000000" w:themeColor="text1"/>
                <w:sz w:val="28"/>
                <w:szCs w:val="28"/>
                <w:highlight w:val="white"/>
                <w:vertAlign w:val="superscript"/>
              </w:rPr>
              <w:t>1</w:t>
            </w:r>
            <w:r>
              <w:rPr>
                <w:rFonts w:ascii="Times New Roman" w:hAnsi="Times New Roman"/>
                <w:b/>
                <w:bCs/>
                <w:color w:val="000000" w:themeColor="text1"/>
                <w:sz w:val="28"/>
                <w:szCs w:val="28"/>
                <w:highlight w:val="white"/>
              </w:rPr>
              <w:t xml:space="preserve"> цього Закону. </w:t>
            </w:r>
          </w:p>
        </w:tc>
      </w:tr>
      <w:tr w:rsidR="00274259" w14:paraId="451B25E1" w14:textId="77777777">
        <w:tc>
          <w:tcPr>
            <w:tcW w:w="7220" w:type="dxa"/>
            <w:tcMar>
              <w:top w:w="100" w:type="dxa"/>
              <w:left w:w="100" w:type="dxa"/>
              <w:bottom w:w="100" w:type="dxa"/>
              <w:right w:w="100" w:type="dxa"/>
            </w:tcMar>
          </w:tcPr>
          <w:p w14:paraId="1E8C6EB7"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rPr>
            </w:pPr>
            <w:r>
              <w:rPr>
                <w:rFonts w:ascii="Times New Roman" w:hAnsi="Times New Roman"/>
                <w:b/>
                <w:bCs/>
                <w:color w:val="000000" w:themeColor="text1"/>
                <w:sz w:val="28"/>
                <w:szCs w:val="28"/>
                <w:highlight w:val="white"/>
              </w:rPr>
              <w:t>Стаття 39</w:t>
            </w:r>
            <w:r>
              <w:rPr>
                <w:rFonts w:ascii="Times New Roman" w:hAnsi="Times New Roman"/>
                <w:b/>
                <w:bCs/>
                <w:color w:val="000000" w:themeColor="text1"/>
                <w:sz w:val="28"/>
                <w:szCs w:val="28"/>
                <w:highlight w:val="white"/>
                <w:vertAlign w:val="superscript"/>
              </w:rPr>
              <w:t>1</w:t>
            </w:r>
            <w:r>
              <w:rPr>
                <w:rFonts w:ascii="Times New Roman" w:hAnsi="Times New Roman"/>
                <w:b/>
                <w:bCs/>
                <w:color w:val="000000" w:themeColor="text1"/>
                <w:sz w:val="28"/>
                <w:szCs w:val="28"/>
                <w:highlight w:val="white"/>
              </w:rPr>
              <w:t xml:space="preserve">. </w:t>
            </w:r>
            <w:r>
              <w:rPr>
                <w:rFonts w:ascii="Times New Roman" w:hAnsi="Times New Roman"/>
                <w:color w:val="000000" w:themeColor="text1"/>
                <w:sz w:val="28"/>
                <w:szCs w:val="28"/>
                <w:highlight w:val="white"/>
              </w:rPr>
              <w:t xml:space="preserve">Внесення змін до повідомлення або декларації про готовність об'єкта до експлуатації, скасування реєстрації декларації про готовність об'єкта до експлуатації або припинення права на початок виконання підготовчих або будівельних робіт, набутого на підставі поданого повідомлення </w:t>
            </w:r>
          </w:p>
          <w:p w14:paraId="0C802120"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p w14:paraId="2A837668"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 xml:space="preserve">2. У разі виявлення відповідним органом державного архітектурно-будівельного контролю факту подання недостовірних даних, наведених у надісланому повідомленні чи зареєстрованій декларації, які є підставою вважати об'єкт самочинним будівництвом, зокрема, якщо він збудований або будується на земельній ділянці, що не була відведена для цієї мети, або без відповідного документа, який дає право виконувати будівельні роботи, чи без належно затвердженого проекту або будівельного паспорта, </w:t>
            </w:r>
            <w:r>
              <w:rPr>
                <w:rFonts w:ascii="Times New Roman" w:hAnsi="Times New Roman"/>
                <w:strike/>
                <w:color w:val="000000" w:themeColor="text1"/>
                <w:sz w:val="28"/>
                <w:szCs w:val="28"/>
                <w:highlight w:val="white"/>
              </w:rPr>
              <w:t>а також у разі набрання законної сили судовим рішенням про скасування містобудівних умов та обмежень</w:t>
            </w:r>
            <w:r>
              <w:rPr>
                <w:rFonts w:ascii="Times New Roman" w:hAnsi="Times New Roman"/>
                <w:color w:val="000000" w:themeColor="text1"/>
                <w:sz w:val="28"/>
                <w:szCs w:val="28"/>
                <w:highlight w:val="white"/>
              </w:rPr>
              <w:t xml:space="preserve"> відповідний орган державного архітектурно-будівельного контролю </w:t>
            </w:r>
            <w:r>
              <w:rPr>
                <w:rFonts w:ascii="Times New Roman" w:hAnsi="Times New Roman"/>
                <w:strike/>
                <w:color w:val="000000" w:themeColor="text1"/>
                <w:sz w:val="28"/>
                <w:szCs w:val="28"/>
                <w:highlight w:val="white"/>
              </w:rPr>
              <w:t>та нагляду</w:t>
            </w:r>
            <w:r>
              <w:rPr>
                <w:rFonts w:ascii="Times New Roman" w:hAnsi="Times New Roman"/>
                <w:color w:val="000000" w:themeColor="text1"/>
                <w:sz w:val="28"/>
                <w:szCs w:val="28"/>
                <w:highlight w:val="white"/>
              </w:rPr>
              <w:t xml:space="preserve"> звертається до адміністративного суду із позовом про скасування реєстрації такої декларації або про припинення права на виконання підготовчих або будівельних робіт, набутого на підставі поданого повідомлення.</w:t>
            </w:r>
          </w:p>
        </w:tc>
        <w:tc>
          <w:tcPr>
            <w:tcW w:w="7654" w:type="dxa"/>
            <w:tcMar>
              <w:top w:w="100" w:type="dxa"/>
              <w:left w:w="100" w:type="dxa"/>
              <w:bottom w:w="100" w:type="dxa"/>
              <w:right w:w="100" w:type="dxa"/>
            </w:tcMar>
          </w:tcPr>
          <w:p w14:paraId="10624CF3"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Стаття 39</w:t>
            </w:r>
            <w:r>
              <w:rPr>
                <w:rFonts w:ascii="Times New Roman" w:hAnsi="Times New Roman"/>
                <w:b/>
                <w:bCs/>
                <w:color w:val="000000" w:themeColor="text1"/>
                <w:sz w:val="28"/>
                <w:szCs w:val="28"/>
                <w:highlight w:val="white"/>
                <w:vertAlign w:val="superscript"/>
              </w:rPr>
              <w:t>1</w:t>
            </w:r>
            <w:r>
              <w:rPr>
                <w:rFonts w:ascii="Times New Roman" w:hAnsi="Times New Roman"/>
                <w:b/>
                <w:bCs/>
                <w:color w:val="000000" w:themeColor="text1"/>
                <w:sz w:val="28"/>
                <w:szCs w:val="28"/>
                <w:highlight w:val="white"/>
              </w:rPr>
              <w:t xml:space="preserve">. </w:t>
            </w:r>
            <w:r>
              <w:rPr>
                <w:rFonts w:ascii="Times New Roman" w:hAnsi="Times New Roman"/>
                <w:color w:val="000000" w:themeColor="text1"/>
                <w:sz w:val="28"/>
                <w:szCs w:val="28"/>
                <w:highlight w:val="white"/>
              </w:rPr>
              <w:t xml:space="preserve">Внесення змін до повідомлення або декларації про готовність об'єкта до експлуатації, скасування реєстрації декларації про готовність об'єкта до експлуатації або припинення права на початок виконання підготовчих або будівельних робіт, набутого на підставі поданого повідомлення </w:t>
            </w:r>
          </w:p>
          <w:p w14:paraId="262EBF99" w14:textId="77777777" w:rsidR="00274259" w:rsidRDefault="00CD3C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p w14:paraId="6A7928B2"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 xml:space="preserve">2. У разі виявлення відповідним органом державного архітектурно-будівельного контролю факту подання недостовірних даних, наведених у надісланому повідомленні чи зареєстрованій декларації, які є підставою вважати об'єкт самочинним будівництвом, зокрема, якщо він збудований або будується на земельній ділянці, що не була відведена для цієї мети, або без відповідного документа, який дає право виконувати будівельні роботи, чи без належно затвердженого проекту або будівельного паспорта, </w:t>
            </w:r>
            <w:r>
              <w:rPr>
                <w:rFonts w:ascii="Times New Roman" w:hAnsi="Times New Roman"/>
                <w:b/>
                <w:bCs/>
                <w:color w:val="000000" w:themeColor="text1"/>
                <w:sz w:val="28"/>
                <w:szCs w:val="28"/>
                <w:lang w:val="uk-UA"/>
              </w:rPr>
              <w:t xml:space="preserve">а також у разі встановлення </w:t>
            </w:r>
            <w:r>
              <w:rPr>
                <w:rFonts w:ascii="Times New Roman" w:hAnsi="Times New Roman"/>
                <w:b/>
                <w:bCs/>
                <w:color w:val="000000" w:themeColor="text1"/>
                <w:sz w:val="28"/>
                <w:szCs w:val="28"/>
                <w:shd w:val="clear" w:color="auto" w:fill="FFFFFF"/>
                <w:lang w:val="uk-UA"/>
              </w:rPr>
              <w:t xml:space="preserve">істотного відхилення від проекту, що </w:t>
            </w:r>
            <w:r>
              <w:rPr>
                <w:rFonts w:ascii="Times New Roman" w:hAnsi="Times New Roman"/>
                <w:b/>
                <w:bCs/>
                <w:color w:val="000000" w:themeColor="text1"/>
                <w:sz w:val="28"/>
                <w:szCs w:val="28"/>
                <w:lang w:val="uk-UA"/>
              </w:rPr>
              <w:t xml:space="preserve">несе реальні ризики загрози життю та здоров’ю людей, </w:t>
            </w:r>
            <w:r>
              <w:rPr>
                <w:rFonts w:ascii="Times New Roman" w:hAnsi="Times New Roman"/>
                <w:b/>
                <w:bCs/>
                <w:color w:val="000000" w:themeColor="text1"/>
                <w:sz w:val="28"/>
                <w:szCs w:val="28"/>
                <w:shd w:val="clear" w:color="auto" w:fill="FFFFFF"/>
                <w:lang w:val="uk-UA"/>
              </w:rPr>
              <w:t>якщо проведення перебудови є неможливим або особа, яка здійснила (здійснює) будівництво, відмовляється від її проведення,</w:t>
            </w:r>
            <w:r>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highlight w:val="white"/>
              </w:rPr>
              <w:t>відповідний орган державного архітектурно-будівельного контролю звертається до адміністративного суду із позовом про скасування реєстрації такої декларації або про припинення права на виконання підготовчих або будівельних робіт, набутого на підставі поданого повідомлення.</w:t>
            </w:r>
          </w:p>
        </w:tc>
      </w:tr>
      <w:tr w:rsidR="00274259" w14:paraId="220B6BFB" w14:textId="77777777">
        <w:tc>
          <w:tcPr>
            <w:tcW w:w="7220" w:type="dxa"/>
            <w:tcMar>
              <w:top w:w="100" w:type="dxa"/>
              <w:left w:w="100" w:type="dxa"/>
              <w:bottom w:w="100" w:type="dxa"/>
              <w:right w:w="100" w:type="dxa"/>
            </w:tcMar>
          </w:tcPr>
          <w:p w14:paraId="3D891430"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Стаття 41.</w:t>
            </w:r>
            <w:r>
              <w:rPr>
                <w:rFonts w:ascii="Times New Roman" w:hAnsi="Times New Roman"/>
                <w:color w:val="000000" w:themeColor="text1"/>
                <w:sz w:val="28"/>
                <w:szCs w:val="28"/>
                <w:highlight w:val="white"/>
              </w:rPr>
              <w:t xml:space="preserve"> Державний архітектурно-будівельний контроль</w:t>
            </w:r>
            <w:r>
              <w:rPr>
                <w:rFonts w:ascii="Times New Roman" w:hAnsi="Times New Roman"/>
                <w:b/>
                <w:bCs/>
                <w:color w:val="000000" w:themeColor="text1"/>
                <w:sz w:val="28"/>
                <w:szCs w:val="28"/>
                <w:highlight w:val="white"/>
              </w:rPr>
              <w:t xml:space="preserve"> </w:t>
            </w:r>
          </w:p>
          <w:p w14:paraId="4ED83B0C"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p w14:paraId="585E0B62"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Проведення позапланових перевірок з інших підстав, крім передбачених цією статтею, забороняється, крім позапланових перевірок, передбачених абзацом десятим. цієї частини.</w:t>
            </w:r>
            <w:r>
              <w:rPr>
                <w:rFonts w:ascii="Times New Roman" w:hAnsi="Times New Roman"/>
                <w:b/>
                <w:bCs/>
                <w:color w:val="000000" w:themeColor="text1"/>
                <w:sz w:val="28"/>
                <w:szCs w:val="28"/>
                <w:highlight w:val="white"/>
              </w:rPr>
              <w:t xml:space="preserve"> </w:t>
            </w:r>
          </w:p>
          <w:p w14:paraId="2AE78824"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lang w:val="uk-UA"/>
              </w:rPr>
              <w:t>Абзац</w:t>
            </w:r>
            <w:r>
              <w:rPr>
                <w:rFonts w:ascii="Times New Roman" w:hAnsi="Times New Roman"/>
                <w:b/>
                <w:bCs/>
                <w:color w:val="000000" w:themeColor="text1"/>
                <w:sz w:val="28"/>
                <w:szCs w:val="28"/>
                <w:highlight w:val="white"/>
              </w:rPr>
              <w:t xml:space="preserve"> відсутн</w:t>
            </w:r>
            <w:r>
              <w:rPr>
                <w:rFonts w:ascii="Times New Roman" w:hAnsi="Times New Roman"/>
                <w:b/>
                <w:bCs/>
                <w:color w:val="000000" w:themeColor="text1"/>
                <w:sz w:val="28"/>
                <w:szCs w:val="28"/>
                <w:highlight w:val="white"/>
                <w:lang w:val="uk-UA"/>
              </w:rPr>
              <w:t>ій.</w:t>
            </w:r>
          </w:p>
          <w:p w14:paraId="0F5EA93E"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p>
          <w:p w14:paraId="3D8F7309"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p>
          <w:p w14:paraId="433CECFF"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lang w:val="uk-UA"/>
              </w:rPr>
              <w:t>Абзац</w:t>
            </w:r>
            <w:r>
              <w:rPr>
                <w:rFonts w:ascii="Times New Roman" w:hAnsi="Times New Roman"/>
                <w:b/>
                <w:bCs/>
                <w:color w:val="000000" w:themeColor="text1"/>
                <w:sz w:val="28"/>
                <w:szCs w:val="28"/>
                <w:highlight w:val="white"/>
              </w:rPr>
              <w:t xml:space="preserve"> відсутн</w:t>
            </w:r>
            <w:r>
              <w:rPr>
                <w:rFonts w:ascii="Times New Roman" w:hAnsi="Times New Roman"/>
                <w:b/>
                <w:bCs/>
                <w:color w:val="000000" w:themeColor="text1"/>
                <w:sz w:val="28"/>
                <w:szCs w:val="28"/>
                <w:highlight w:val="white"/>
                <w:lang w:val="uk-UA"/>
              </w:rPr>
              <w:t>ій.</w:t>
            </w:r>
          </w:p>
          <w:p w14:paraId="135CCC7B"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p>
          <w:p w14:paraId="6A1D35FD"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p>
          <w:p w14:paraId="7DAD2AA9"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lang w:val="uk-UA"/>
              </w:rPr>
            </w:pPr>
            <w:r>
              <w:rPr>
                <w:rFonts w:ascii="Times New Roman" w:hAnsi="Times New Roman"/>
                <w:b/>
                <w:bCs/>
                <w:color w:val="000000" w:themeColor="text1"/>
                <w:sz w:val="28"/>
                <w:szCs w:val="28"/>
                <w:highlight w:val="white"/>
                <w:lang w:val="uk-UA"/>
              </w:rPr>
              <w:t>Абзац</w:t>
            </w:r>
            <w:r>
              <w:rPr>
                <w:rFonts w:ascii="Times New Roman" w:hAnsi="Times New Roman"/>
                <w:b/>
                <w:bCs/>
                <w:color w:val="000000" w:themeColor="text1"/>
                <w:sz w:val="28"/>
                <w:szCs w:val="28"/>
                <w:highlight w:val="white"/>
              </w:rPr>
              <w:t xml:space="preserve"> відсутн</w:t>
            </w:r>
            <w:r>
              <w:rPr>
                <w:rFonts w:ascii="Times New Roman" w:hAnsi="Times New Roman"/>
                <w:b/>
                <w:bCs/>
                <w:color w:val="000000" w:themeColor="text1"/>
                <w:sz w:val="28"/>
                <w:szCs w:val="28"/>
                <w:highlight w:val="white"/>
                <w:lang w:val="uk-UA"/>
              </w:rPr>
              <w:t>ій.</w:t>
            </w:r>
          </w:p>
          <w:p w14:paraId="774A89FB"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p>
          <w:p w14:paraId="019C544E"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lang w:val="uk-UA"/>
              </w:rPr>
            </w:pPr>
          </w:p>
          <w:p w14:paraId="655ADA06"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lang w:val="uk-UA"/>
              </w:rPr>
            </w:pPr>
          </w:p>
          <w:p w14:paraId="696B0007"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p w14:paraId="48ED0EC5"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lang w:val="uk-UA"/>
              </w:rPr>
            </w:pPr>
            <w:r>
              <w:rPr>
                <w:rFonts w:ascii="Times New Roman" w:hAnsi="Times New Roman"/>
                <w:color w:val="000000" w:themeColor="text1"/>
                <w:sz w:val="28"/>
                <w:szCs w:val="28"/>
                <w:highlight w:val="white"/>
              </w:rPr>
              <w:t>У разі систематичного (два і більше разів підряд) перешкоджання проведенню перевірки посадовим особам органу державного архітектурно-будівельного контролю, невиконання вимог приписів</w:t>
            </w:r>
            <w:r>
              <w:rPr>
                <w:rFonts w:ascii="Times New Roman" w:hAnsi="Times New Roman"/>
                <w:color w:val="000000" w:themeColor="text1"/>
                <w:sz w:val="28"/>
                <w:szCs w:val="28"/>
                <w:highlight w:val="white"/>
                <w:lang w:val="uk-UA"/>
              </w:rPr>
              <w:t xml:space="preserve"> </w:t>
            </w:r>
            <w:r>
              <w:rPr>
                <w:rFonts w:ascii="Times New Roman" w:hAnsi="Times New Roman"/>
                <w:color w:val="000000" w:themeColor="text1"/>
                <w:sz w:val="28"/>
                <w:szCs w:val="28"/>
                <w:highlight w:val="white"/>
              </w:rPr>
              <w:t>посадових осіб органів державного архітектурно-будівельного контролю щодо усунення порушень законодавства у сфері містобудівної діяльності, встановлених під час перевірки, а саме: порушень вимог містобудівної документації, містобудівних умов та обмежень, проектної документації на будівництво об’єкта, будівельних норм і правил, а також в інших випадках, визначених цим Законом, відповідний орган державного архітектурно-будівельного контролю звертається до адміністративного суду із позовом про припинення права на виконання підготовчих або будівельних робіт.</w:t>
            </w:r>
            <w:r>
              <w:rPr>
                <w:rFonts w:ascii="Times New Roman" w:hAnsi="Times New Roman"/>
                <w:b/>
                <w:bCs/>
                <w:color w:val="000000" w:themeColor="text1"/>
                <w:sz w:val="28"/>
                <w:szCs w:val="28"/>
                <w:highlight w:val="white"/>
              </w:rPr>
              <w:t xml:space="preserve"> </w:t>
            </w:r>
            <w:r>
              <w:rPr>
                <w:rFonts w:ascii="Times New Roman" w:hAnsi="Times New Roman"/>
                <w:b/>
                <w:bCs/>
                <w:color w:val="000000" w:themeColor="text1"/>
                <w:sz w:val="28"/>
                <w:szCs w:val="28"/>
                <w:highlight w:val="white"/>
                <w:lang w:val="uk-UA"/>
              </w:rPr>
              <w:t>П</w:t>
            </w:r>
            <w:r>
              <w:rPr>
                <w:rFonts w:ascii="Times New Roman" w:hAnsi="Times New Roman"/>
                <w:b/>
                <w:bCs/>
                <w:color w:val="000000" w:themeColor="text1"/>
                <w:sz w:val="28"/>
                <w:szCs w:val="28"/>
                <w:highlight w:val="white"/>
              </w:rPr>
              <w:t>оложення відсутнє</w:t>
            </w:r>
            <w:r>
              <w:rPr>
                <w:rFonts w:ascii="Times New Roman" w:hAnsi="Times New Roman"/>
                <w:b/>
                <w:bCs/>
                <w:color w:val="000000" w:themeColor="text1"/>
                <w:sz w:val="28"/>
                <w:szCs w:val="28"/>
                <w:highlight w:val="white"/>
                <w:lang w:val="uk-UA"/>
              </w:rPr>
              <w:t>.</w:t>
            </w:r>
          </w:p>
          <w:p w14:paraId="495C6991"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rPr>
            </w:pPr>
          </w:p>
          <w:p w14:paraId="794ABCE2"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lang w:val="uk-UA"/>
              </w:rPr>
            </w:pPr>
          </w:p>
          <w:p w14:paraId="433D28CE"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lang w:val="uk-UA"/>
              </w:rPr>
            </w:pPr>
          </w:p>
          <w:p w14:paraId="1C5346AC"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lang w:val="uk-UA"/>
              </w:rPr>
            </w:pPr>
          </w:p>
          <w:p w14:paraId="41CAF42C"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lang w:val="uk-UA"/>
              </w:rPr>
            </w:pPr>
          </w:p>
          <w:p w14:paraId="220624F6"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rPr>
            </w:pPr>
          </w:p>
          <w:p w14:paraId="60C4B733"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rPr>
            </w:pPr>
          </w:p>
          <w:p w14:paraId="75B50474"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 xml:space="preserve">Неподання органом державного архітектурно-будівельного контролю позову до адміністративного суду про припинення права на виконання підготовчих або будівельних робіт </w:t>
            </w:r>
            <w:r>
              <w:rPr>
                <w:rFonts w:ascii="Times New Roman" w:hAnsi="Times New Roman"/>
                <w:strike/>
                <w:color w:val="000000" w:themeColor="text1"/>
                <w:sz w:val="28"/>
                <w:szCs w:val="28"/>
                <w:highlight w:val="white"/>
              </w:rPr>
              <w:t xml:space="preserve">протягом двох місяців з дня закінчення строку для усунення порушень вимог законодавства у сфері містобудівної діяльності, будівельних норм і правил, визначеного у приписі про зупинення підготовчих або будівельних робіт, </w:t>
            </w:r>
            <w:r>
              <w:rPr>
                <w:rFonts w:ascii="Times New Roman" w:hAnsi="Times New Roman"/>
                <w:color w:val="000000" w:themeColor="text1"/>
                <w:sz w:val="28"/>
                <w:szCs w:val="28"/>
                <w:highlight w:val="white"/>
              </w:rPr>
              <w:t>або постановлення судом ухвали про відмову у відкритті провадження у справі, про залишення позову (заяви) без розгляду, є підставою для відновлення виконання підготовчих та/або будівельних робіт (крім випадків, якщо підготовчі та/або будівельні роботи зупинені через ненабуття права на їх виконання).</w:t>
            </w:r>
            <w:r>
              <w:rPr>
                <w:rFonts w:ascii="Times New Roman" w:hAnsi="Times New Roman"/>
                <w:b/>
                <w:bCs/>
                <w:color w:val="000000" w:themeColor="text1"/>
                <w:sz w:val="28"/>
                <w:szCs w:val="28"/>
                <w:highlight w:val="white"/>
              </w:rPr>
              <w:t xml:space="preserve"> </w:t>
            </w:r>
          </w:p>
          <w:p w14:paraId="3C78C9AE"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p>
          <w:p w14:paraId="00DDF5A7"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tc>
        <w:tc>
          <w:tcPr>
            <w:tcW w:w="7654" w:type="dxa"/>
            <w:tcMar>
              <w:top w:w="100" w:type="dxa"/>
              <w:left w:w="100" w:type="dxa"/>
              <w:bottom w:w="100" w:type="dxa"/>
              <w:right w:w="100" w:type="dxa"/>
            </w:tcMar>
          </w:tcPr>
          <w:p w14:paraId="5E25A82F"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Стаття 41.</w:t>
            </w:r>
            <w:r>
              <w:rPr>
                <w:rFonts w:ascii="Times New Roman" w:hAnsi="Times New Roman"/>
                <w:color w:val="000000" w:themeColor="text1"/>
                <w:sz w:val="28"/>
                <w:szCs w:val="28"/>
                <w:highlight w:val="white"/>
              </w:rPr>
              <w:t xml:space="preserve"> Державний архітектурно-будівельний контроль</w:t>
            </w:r>
            <w:r>
              <w:rPr>
                <w:rFonts w:ascii="Times New Roman" w:hAnsi="Times New Roman"/>
                <w:b/>
                <w:bCs/>
                <w:color w:val="000000" w:themeColor="text1"/>
                <w:sz w:val="28"/>
                <w:szCs w:val="28"/>
                <w:highlight w:val="white"/>
              </w:rPr>
              <w:t xml:space="preserve"> </w:t>
            </w:r>
          </w:p>
          <w:p w14:paraId="65B20CD5"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p w14:paraId="7AA3330C"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16"/>
                <w:szCs w:val="16"/>
                <w:highlight w:val="white"/>
                <w:lang w:val="uk-UA"/>
              </w:rPr>
            </w:pPr>
          </w:p>
          <w:p w14:paraId="61EA543C"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Проведення позапланових перевірок з інших підстав, крім передбачених цією статтею, забороняється, крім позапланових перевірок, передбачених абзацом десятим</w:t>
            </w:r>
            <w:r>
              <w:rPr>
                <w:rFonts w:ascii="Times New Roman" w:hAnsi="Times New Roman"/>
                <w:b/>
                <w:bCs/>
                <w:color w:val="000000" w:themeColor="text1"/>
                <w:sz w:val="28"/>
                <w:szCs w:val="28"/>
                <w:highlight w:val="white"/>
              </w:rPr>
              <w:t>.</w:t>
            </w:r>
          </w:p>
          <w:p w14:paraId="75AE6BD1"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Перевірка виконання суб’єктом містобудування вимог приписів</w:t>
            </w:r>
            <w:r>
              <w:rPr>
                <w:rFonts w:ascii="Times New Roman" w:hAnsi="Times New Roman"/>
                <w:b/>
                <w:bCs/>
                <w:color w:val="000000" w:themeColor="text1"/>
                <w:sz w:val="28"/>
                <w:szCs w:val="28"/>
                <w:highlight w:val="white"/>
                <w:lang w:val="uk-UA"/>
              </w:rPr>
              <w:t xml:space="preserve"> </w:t>
            </w:r>
            <w:r>
              <w:rPr>
                <w:rFonts w:ascii="Times New Roman" w:hAnsi="Times New Roman"/>
                <w:b/>
                <w:bCs/>
                <w:color w:val="000000" w:themeColor="text1"/>
                <w:sz w:val="28"/>
                <w:szCs w:val="28"/>
                <w:highlight w:val="white"/>
              </w:rPr>
              <w:t xml:space="preserve">органів державного архітектурно-будівельного контролю проводиться не пізніше одного місяця з дня закінчення встановленого строку для усунення виявлених порушень. </w:t>
            </w:r>
          </w:p>
          <w:p w14:paraId="3F6B31F4"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 xml:space="preserve">Зазначений строк за клопотанням суб’єкта містобудування може бути одноразово продовжений, але не більше ніж на один календарний місяць. </w:t>
            </w:r>
          </w:p>
          <w:p w14:paraId="0E682F64"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Непроведення перевірки виконання суб’єктом містобудування вимог приписів у строки</w:t>
            </w:r>
            <w:r>
              <w:rPr>
                <w:rFonts w:ascii="Times New Roman" w:hAnsi="Times New Roman"/>
                <w:b/>
                <w:bCs/>
                <w:color w:val="000000" w:themeColor="text1"/>
                <w:sz w:val="28"/>
                <w:szCs w:val="28"/>
                <w:highlight w:val="white"/>
                <w:lang w:val="uk-UA"/>
              </w:rPr>
              <w:t>,</w:t>
            </w:r>
            <w:r>
              <w:rPr>
                <w:rFonts w:ascii="Times New Roman" w:hAnsi="Times New Roman"/>
                <w:b/>
                <w:bCs/>
                <w:color w:val="000000" w:themeColor="text1"/>
                <w:sz w:val="28"/>
                <w:szCs w:val="28"/>
                <w:highlight w:val="white"/>
              </w:rPr>
              <w:t xml:space="preserve"> </w:t>
            </w:r>
            <w:r>
              <w:rPr>
                <w:rFonts w:ascii="Times New Roman" w:hAnsi="Times New Roman"/>
                <w:b/>
                <w:bCs/>
                <w:color w:val="000000" w:themeColor="text1"/>
                <w:sz w:val="28"/>
                <w:szCs w:val="28"/>
                <w:highlight w:val="white"/>
                <w:lang w:val="uk-UA"/>
              </w:rPr>
              <w:t>ви</w:t>
            </w:r>
            <w:r>
              <w:rPr>
                <w:rFonts w:ascii="Times New Roman" w:hAnsi="Times New Roman"/>
                <w:b/>
                <w:bCs/>
                <w:color w:val="000000" w:themeColor="text1"/>
                <w:sz w:val="28"/>
                <w:szCs w:val="28"/>
                <w:highlight w:val="white"/>
              </w:rPr>
              <w:t xml:space="preserve">значені абзацами шістнадцятим та сімнадцятим цієї частини має наслідком відновлення перебігу строків звернення органів державного архітектурно-будівельного контролю до адміністративного суду, зупинених відповідно до частини восьмої статті 34 цього Закону. </w:t>
            </w:r>
          </w:p>
          <w:p w14:paraId="4DEEC952"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p w14:paraId="5CAE3F41"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 xml:space="preserve">У разі систематичного (два і більше разів підряд) перешкоджання проведенню перевірки посадовим особам органу державного архітектурно-будівельного контролю, </w:t>
            </w:r>
            <w:r>
              <w:rPr>
                <w:rFonts w:ascii="Times New Roman" w:hAnsi="Times New Roman"/>
                <w:b/>
                <w:bCs/>
                <w:color w:val="000000" w:themeColor="text1"/>
                <w:sz w:val="28"/>
                <w:szCs w:val="28"/>
                <w:highlight w:val="white"/>
              </w:rPr>
              <w:t xml:space="preserve">а також </w:t>
            </w:r>
            <w:r>
              <w:rPr>
                <w:rFonts w:ascii="Times New Roman" w:hAnsi="Times New Roman"/>
                <w:color w:val="000000" w:themeColor="text1"/>
                <w:sz w:val="28"/>
                <w:szCs w:val="28"/>
                <w:highlight w:val="white"/>
              </w:rPr>
              <w:t xml:space="preserve">невиконання вимог приписів посадових осіб органів державного архітектурно-будівельного контролю щодо усунення порушень законодавства у сфері містобудівної діяльності, встановлених під час перевірки, а саме: порушень вимог містобудівної документації, містобудівних умов та обмежень, проектної документації на будівництво об’єкта, будівельних норм і правил, а також в інших випадках, визначених цим Законом, відповідний орган державного архітектурно-будівельного контролю </w:t>
            </w:r>
            <w:r>
              <w:rPr>
                <w:rFonts w:ascii="Times New Roman" w:hAnsi="Times New Roman"/>
                <w:b/>
                <w:bCs/>
                <w:color w:val="000000" w:themeColor="text1"/>
                <w:sz w:val="28"/>
                <w:szCs w:val="28"/>
                <w:highlight w:val="white"/>
              </w:rPr>
              <w:t>в межах строку, визначеного цим Законом,</w:t>
            </w:r>
            <w:r>
              <w:rPr>
                <w:rFonts w:ascii="Times New Roman" w:hAnsi="Times New Roman"/>
                <w:color w:val="000000" w:themeColor="text1"/>
                <w:sz w:val="28"/>
                <w:szCs w:val="28"/>
                <w:highlight w:val="white"/>
              </w:rPr>
              <w:t xml:space="preserve">  звертається до адміністративного суду із позовом про припинення права на виконання підготовчих або будівельних робіт.</w:t>
            </w:r>
            <w:r>
              <w:rPr>
                <w:rFonts w:ascii="Times New Roman" w:hAnsi="Times New Roman"/>
                <w:b/>
                <w:bCs/>
                <w:color w:val="000000" w:themeColor="text1"/>
                <w:sz w:val="28"/>
                <w:szCs w:val="28"/>
                <w:highlight w:val="white"/>
              </w:rPr>
              <w:t xml:space="preserve"> </w:t>
            </w:r>
            <w:r>
              <w:rPr>
                <w:rFonts w:ascii="Times New Roman" w:hAnsi="Times New Roman"/>
                <w:b/>
                <w:bCs/>
                <w:color w:val="000000" w:themeColor="text1"/>
                <w:sz w:val="28"/>
                <w:szCs w:val="28"/>
              </w:rPr>
              <w:t xml:space="preserve">Позов про припинення права на виконання підготовчих або будівельних робіт може бути подано органом державного архітектурно-будівельного контролю протягом двох місяців з дати виявлення факту </w:t>
            </w:r>
            <w:r>
              <w:rPr>
                <w:rFonts w:ascii="Times New Roman" w:hAnsi="Times New Roman"/>
                <w:b/>
                <w:bCs/>
                <w:color w:val="000000" w:themeColor="text1"/>
                <w:sz w:val="28"/>
                <w:szCs w:val="28"/>
                <w:highlight w:val="white"/>
              </w:rPr>
              <w:t>невиконання вимог приписів посадових осіб органів державного архітектурно-будівельного контролю щодо усунення порушень законодавства у сфері містобудівної діяльності, будівельних норм і правил, з урахуванням вимог, передбачених частиною восьмою статті 34 цього Закону.</w:t>
            </w:r>
          </w:p>
          <w:p w14:paraId="23BD931B"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Непроведення перевірки або н</w:t>
            </w:r>
            <w:r>
              <w:rPr>
                <w:rFonts w:ascii="Times New Roman" w:hAnsi="Times New Roman"/>
                <w:color w:val="000000" w:themeColor="text1"/>
                <w:sz w:val="28"/>
                <w:szCs w:val="28"/>
                <w:highlight w:val="white"/>
              </w:rPr>
              <w:t xml:space="preserve">еподання органом державного архітектурно-будівельного контролю позову до адміністративного суду про припинення права на виконання підготовчих або будівельних робіт </w:t>
            </w:r>
            <w:r>
              <w:rPr>
                <w:rFonts w:ascii="Times New Roman" w:hAnsi="Times New Roman"/>
                <w:b/>
                <w:bCs/>
                <w:color w:val="000000" w:themeColor="text1"/>
                <w:sz w:val="28"/>
                <w:szCs w:val="28"/>
                <w:highlight w:val="white"/>
              </w:rPr>
              <w:t xml:space="preserve">протягом зазначених у цій частині строків </w:t>
            </w:r>
            <w:r>
              <w:rPr>
                <w:rFonts w:ascii="Times New Roman" w:hAnsi="Times New Roman"/>
                <w:color w:val="000000" w:themeColor="text1"/>
                <w:sz w:val="28"/>
                <w:szCs w:val="28"/>
                <w:highlight w:val="white"/>
              </w:rPr>
              <w:t xml:space="preserve">або постановлення судом ухвали про відмову у відкритті провадження у справі, про залишення позову (заяви) без розгляду, є підставою для відновлення виконання підготовчих та/або будівельних робіт (крім випадків, якщо підготовчі та/або будівельні роботи зупинені через ненабуття права на їх виконання) </w:t>
            </w:r>
            <w:r>
              <w:rPr>
                <w:rFonts w:ascii="Times New Roman" w:hAnsi="Times New Roman"/>
                <w:b/>
                <w:bCs/>
                <w:color w:val="000000" w:themeColor="text1"/>
                <w:sz w:val="28"/>
                <w:szCs w:val="28"/>
                <w:highlight w:val="white"/>
              </w:rPr>
              <w:t>та прийняття в експлуатацію закінченого будівництвом об’єкта (крім випадків проведення перевірки після спливу строку подання позову до адміністративного суду про припинення права на виконання будівельних робіт, передбаченого частиною восьмою статті 34 цього Закону)</w:t>
            </w:r>
            <w:r>
              <w:rPr>
                <w:rFonts w:ascii="Times New Roman" w:hAnsi="Times New Roman"/>
                <w:color w:val="000000" w:themeColor="text1"/>
                <w:sz w:val="28"/>
                <w:szCs w:val="28"/>
                <w:highlight w:val="white"/>
              </w:rPr>
              <w:t>.</w:t>
            </w:r>
            <w:r>
              <w:rPr>
                <w:rFonts w:ascii="Times New Roman" w:hAnsi="Times New Roman"/>
                <w:b/>
                <w:bCs/>
                <w:color w:val="000000" w:themeColor="text1"/>
                <w:sz w:val="28"/>
                <w:szCs w:val="28"/>
                <w:highlight w:val="white"/>
              </w:rPr>
              <w:t xml:space="preserve"> </w:t>
            </w:r>
          </w:p>
          <w:p w14:paraId="3AC13B44"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tc>
      </w:tr>
      <w:tr w:rsidR="00274259" w14:paraId="6DE1D5CB" w14:textId="77777777">
        <w:tc>
          <w:tcPr>
            <w:tcW w:w="7220" w:type="dxa"/>
            <w:tcMar>
              <w:top w:w="100" w:type="dxa"/>
              <w:left w:w="100" w:type="dxa"/>
              <w:bottom w:w="100" w:type="dxa"/>
              <w:right w:w="100" w:type="dxa"/>
            </w:tcMar>
          </w:tcPr>
          <w:p w14:paraId="2B3A5294"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Стаття 41</w:t>
            </w:r>
            <w:r>
              <w:rPr>
                <w:rFonts w:ascii="Times New Roman" w:hAnsi="Times New Roman"/>
                <w:b/>
                <w:bCs/>
                <w:color w:val="000000" w:themeColor="text1"/>
                <w:sz w:val="28"/>
                <w:szCs w:val="28"/>
                <w:highlight w:val="white"/>
                <w:vertAlign w:val="superscript"/>
              </w:rPr>
              <w:t>-1</w:t>
            </w:r>
            <w:r>
              <w:rPr>
                <w:rFonts w:ascii="Times New Roman" w:hAnsi="Times New Roman"/>
                <w:color w:val="000000" w:themeColor="text1"/>
                <w:sz w:val="28"/>
                <w:szCs w:val="28"/>
                <w:highlight w:val="white"/>
              </w:rPr>
              <w:t>. Державний архітектурно-будівельний нагляд</w:t>
            </w:r>
            <w:r>
              <w:rPr>
                <w:rFonts w:ascii="Times New Roman" w:hAnsi="Times New Roman"/>
                <w:b/>
                <w:bCs/>
                <w:color w:val="000000" w:themeColor="text1"/>
                <w:sz w:val="28"/>
                <w:szCs w:val="28"/>
                <w:highlight w:val="white"/>
              </w:rPr>
              <w:t xml:space="preserve"> </w:t>
            </w:r>
          </w:p>
          <w:p w14:paraId="777EBBCC"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p w14:paraId="53F77E9D"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Зупинення дії рішення об’єкта нагляду тягне за собою зупинення до набрання законної сили судовим рішенням виконання підготовчих та/або будівельних робіт, право на виконання яких виникло на підставі рішення, яке зупинено.</w:t>
            </w:r>
            <w:r>
              <w:rPr>
                <w:rFonts w:ascii="Times New Roman" w:hAnsi="Times New Roman"/>
                <w:b/>
                <w:bCs/>
                <w:color w:val="000000" w:themeColor="text1"/>
                <w:sz w:val="28"/>
                <w:szCs w:val="28"/>
                <w:highlight w:val="white"/>
              </w:rPr>
              <w:t xml:space="preserve"> </w:t>
            </w:r>
          </w:p>
          <w:p w14:paraId="58C13077"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lang w:val="uk-UA"/>
              </w:rPr>
              <w:t>Абзац</w:t>
            </w:r>
            <w:r>
              <w:rPr>
                <w:rFonts w:ascii="Times New Roman" w:hAnsi="Times New Roman"/>
                <w:b/>
                <w:bCs/>
                <w:color w:val="000000" w:themeColor="text1"/>
                <w:sz w:val="28"/>
                <w:szCs w:val="28"/>
                <w:highlight w:val="white"/>
              </w:rPr>
              <w:t xml:space="preserve"> відсутн</w:t>
            </w:r>
            <w:r>
              <w:rPr>
                <w:rFonts w:ascii="Times New Roman" w:hAnsi="Times New Roman"/>
                <w:b/>
                <w:bCs/>
                <w:color w:val="000000" w:themeColor="text1"/>
                <w:sz w:val="28"/>
                <w:szCs w:val="28"/>
                <w:highlight w:val="white"/>
                <w:lang w:val="uk-UA"/>
              </w:rPr>
              <w:t>ій.</w:t>
            </w:r>
            <w:r>
              <w:rPr>
                <w:rFonts w:ascii="Times New Roman" w:hAnsi="Times New Roman"/>
                <w:b/>
                <w:bCs/>
                <w:color w:val="000000" w:themeColor="text1"/>
                <w:sz w:val="28"/>
                <w:szCs w:val="28"/>
                <w:highlight w:val="white"/>
              </w:rPr>
              <w:t xml:space="preserve"> </w:t>
            </w:r>
          </w:p>
          <w:p w14:paraId="066D207F"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p>
          <w:p w14:paraId="238464C1"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lang w:val="uk-UA"/>
              </w:rPr>
            </w:pPr>
          </w:p>
          <w:p w14:paraId="291A17EE" w14:textId="77777777" w:rsidR="00274259" w:rsidRDefault="00274259">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color w:val="000000" w:themeColor="text1"/>
                <w:sz w:val="28"/>
                <w:szCs w:val="28"/>
                <w:highlight w:val="white"/>
                <w:lang w:val="uk-UA"/>
              </w:rPr>
            </w:pPr>
          </w:p>
          <w:p w14:paraId="6914DACD"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 xml:space="preserve">Неподання органом державного архітектурно-будівельного контролю та нагляду позову до адміністративного суду про скасування рішення, прийнятого об’єктом нагляду, протягом </w:t>
            </w:r>
            <w:r>
              <w:rPr>
                <w:rFonts w:ascii="Times New Roman" w:hAnsi="Times New Roman"/>
                <w:strike/>
                <w:color w:val="000000" w:themeColor="text1"/>
                <w:sz w:val="28"/>
                <w:szCs w:val="28"/>
                <w:highlight w:val="white"/>
              </w:rPr>
              <w:t xml:space="preserve">двох місяців з дня видання припису про зупинення дії такого рішення </w:t>
            </w:r>
            <w:r>
              <w:rPr>
                <w:rFonts w:ascii="Times New Roman" w:hAnsi="Times New Roman"/>
                <w:color w:val="000000" w:themeColor="text1"/>
                <w:sz w:val="28"/>
                <w:szCs w:val="28"/>
                <w:highlight w:val="white"/>
              </w:rPr>
              <w:t>або постановлення адміністративним судом ухвали про відмову у відкритті провадження у справі у відкритті провадження у справі, про залишення позову без розгляду, має наслідком відновлення дії рішення, прийнятого об’єктом нагляду, та відновлення права на виконання підготовчих та/або будівельних робіт.</w:t>
            </w:r>
            <w:r>
              <w:rPr>
                <w:rFonts w:ascii="Times New Roman" w:hAnsi="Times New Roman"/>
                <w:b/>
                <w:bCs/>
                <w:color w:val="000000" w:themeColor="text1"/>
                <w:sz w:val="28"/>
                <w:szCs w:val="28"/>
                <w:highlight w:val="white"/>
              </w:rPr>
              <w:t xml:space="preserve"> </w:t>
            </w:r>
          </w:p>
        </w:tc>
        <w:tc>
          <w:tcPr>
            <w:tcW w:w="7654" w:type="dxa"/>
            <w:tcMar>
              <w:top w:w="100" w:type="dxa"/>
              <w:left w:w="100" w:type="dxa"/>
              <w:bottom w:w="100" w:type="dxa"/>
              <w:right w:w="100" w:type="dxa"/>
            </w:tcMar>
          </w:tcPr>
          <w:p w14:paraId="601AE667"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Стаття 41</w:t>
            </w:r>
            <w:r>
              <w:rPr>
                <w:rFonts w:ascii="Times New Roman" w:hAnsi="Times New Roman"/>
                <w:b/>
                <w:bCs/>
                <w:color w:val="000000" w:themeColor="text1"/>
                <w:sz w:val="28"/>
                <w:szCs w:val="28"/>
                <w:highlight w:val="white"/>
                <w:vertAlign w:val="superscript"/>
              </w:rPr>
              <w:t>-1</w:t>
            </w:r>
            <w:r>
              <w:rPr>
                <w:rFonts w:ascii="Times New Roman" w:hAnsi="Times New Roman"/>
                <w:color w:val="000000" w:themeColor="text1"/>
                <w:sz w:val="28"/>
                <w:szCs w:val="28"/>
                <w:highlight w:val="white"/>
              </w:rPr>
              <w:t>. Державний архітектурно-будівельний нагляд</w:t>
            </w:r>
            <w:r>
              <w:rPr>
                <w:rFonts w:ascii="Times New Roman" w:hAnsi="Times New Roman"/>
                <w:b/>
                <w:bCs/>
                <w:color w:val="000000" w:themeColor="text1"/>
                <w:sz w:val="28"/>
                <w:szCs w:val="28"/>
                <w:highlight w:val="white"/>
              </w:rPr>
              <w:t xml:space="preserve"> </w:t>
            </w:r>
          </w:p>
          <w:p w14:paraId="0305E7E5"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w:t>
            </w:r>
          </w:p>
          <w:p w14:paraId="149DF3F1"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Зупинення дії рішення об’єкта нагляду тягне за собою зупинення до набрання законної сили судовим рішенням виконання підготовчих та/або будівельних робіт, право на виконання яких виникло на підставі рішення, яке зупинено.</w:t>
            </w:r>
            <w:r>
              <w:rPr>
                <w:rFonts w:ascii="Times New Roman" w:hAnsi="Times New Roman"/>
                <w:b/>
                <w:bCs/>
                <w:color w:val="000000" w:themeColor="text1"/>
                <w:sz w:val="28"/>
                <w:szCs w:val="28"/>
                <w:highlight w:val="white"/>
              </w:rPr>
              <w:t xml:space="preserve"> </w:t>
            </w:r>
          </w:p>
          <w:p w14:paraId="0AA41D6D"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b/>
                <w:bCs/>
                <w:color w:val="000000" w:themeColor="text1"/>
                <w:sz w:val="28"/>
                <w:szCs w:val="28"/>
                <w:highlight w:val="white"/>
              </w:rPr>
              <w:t>Головні інспектори будівельного нагляду можуть</w:t>
            </w:r>
            <w:r>
              <w:rPr>
                <w:rFonts w:ascii="Times New Roman" w:hAnsi="Times New Roman"/>
                <w:color w:val="000000" w:themeColor="text1"/>
                <w:sz w:val="28"/>
                <w:szCs w:val="28"/>
                <w:highlight w:val="white"/>
              </w:rPr>
              <w:t xml:space="preserve"> </w:t>
            </w:r>
            <w:r>
              <w:rPr>
                <w:rFonts w:ascii="Times New Roman" w:hAnsi="Times New Roman"/>
                <w:b/>
                <w:bCs/>
                <w:color w:val="000000" w:themeColor="text1"/>
                <w:sz w:val="28"/>
                <w:szCs w:val="28"/>
                <w:highlight w:val="white"/>
              </w:rPr>
              <w:t xml:space="preserve">звертатися до адміністративного суду з позовами про скасування рішень, прийнятих об’єктами нагляду, протягом строків, передбачених цим Законом, але не пізніше двох місяців з дати виявлення порушень вимог законодавства у сфері містобудівної діяльності. </w:t>
            </w:r>
          </w:p>
          <w:p w14:paraId="5509A3E8" w14:textId="77777777" w:rsidR="00274259" w:rsidRDefault="00CD3C08">
            <w:pPr>
              <w:widowControl w:val="0"/>
              <w:pBdr>
                <w:top w:val="none" w:sz="0" w:space="5" w:color="000000"/>
                <w:left w:val="none" w:sz="0" w:space="0" w:color="000000"/>
                <w:bottom w:val="none" w:sz="0" w:space="5" w:color="000000"/>
                <w:right w:val="none" w:sz="0" w:space="0" w:color="000000"/>
                <w:between w:val="none" w:sz="0" w:space="5" w:color="000000"/>
              </w:pBdr>
              <w:shd w:val="clear" w:color="auto" w:fill="FFFFFF"/>
              <w:jc w:val="both"/>
              <w:rPr>
                <w:rFonts w:ascii="Times New Roman" w:hAnsi="Times New Roman"/>
                <w:b/>
                <w:bCs/>
                <w:color w:val="000000" w:themeColor="text1"/>
                <w:sz w:val="28"/>
                <w:szCs w:val="28"/>
                <w:highlight w:val="white"/>
              </w:rPr>
            </w:pPr>
            <w:r>
              <w:rPr>
                <w:rFonts w:ascii="Times New Roman" w:hAnsi="Times New Roman"/>
                <w:color w:val="000000" w:themeColor="text1"/>
                <w:sz w:val="28"/>
                <w:szCs w:val="28"/>
                <w:highlight w:val="white"/>
              </w:rPr>
              <w:t xml:space="preserve">Неподання органом державного архітектурно-будівельного контролю та нагляду позову до адміністративного суду про скасування рішення, прийнятого об’єктом нагляду, протягом </w:t>
            </w:r>
            <w:r>
              <w:rPr>
                <w:rFonts w:ascii="Times New Roman" w:hAnsi="Times New Roman"/>
                <w:b/>
                <w:bCs/>
                <w:color w:val="000000" w:themeColor="text1"/>
                <w:sz w:val="28"/>
                <w:szCs w:val="28"/>
                <w:highlight w:val="white"/>
              </w:rPr>
              <w:t>строку</w:t>
            </w:r>
            <w:r>
              <w:rPr>
                <w:rFonts w:ascii="Times New Roman" w:hAnsi="Times New Roman"/>
                <w:b/>
                <w:bCs/>
                <w:color w:val="000000" w:themeColor="text1"/>
                <w:sz w:val="28"/>
                <w:szCs w:val="28"/>
                <w:highlight w:val="white"/>
                <w:lang w:val="uk-UA"/>
              </w:rPr>
              <w:t>,</w:t>
            </w:r>
            <w:r>
              <w:rPr>
                <w:rFonts w:ascii="Times New Roman" w:hAnsi="Times New Roman"/>
                <w:b/>
                <w:bCs/>
                <w:color w:val="000000" w:themeColor="text1"/>
                <w:sz w:val="28"/>
                <w:szCs w:val="28"/>
                <w:highlight w:val="white"/>
              </w:rPr>
              <w:t xml:space="preserve"> передбаченого цим Законом </w:t>
            </w:r>
            <w:r>
              <w:rPr>
                <w:rFonts w:ascii="Times New Roman" w:hAnsi="Times New Roman"/>
                <w:color w:val="000000" w:themeColor="text1"/>
                <w:sz w:val="28"/>
                <w:szCs w:val="28"/>
                <w:highlight w:val="white"/>
              </w:rPr>
              <w:t>або постановлення адміністративним судом ухвали про відмову у відкритті провадження у справі, про залишення позову без розгляду, має наслідком відновлення дії рішення, прийнятого об’єктом нагляду, та відновлення права на виконання підготовчих та/або будівельних робіт.</w:t>
            </w:r>
          </w:p>
        </w:tc>
      </w:tr>
    </w:tbl>
    <w:p w14:paraId="0BD3B6C6" w14:textId="77777777" w:rsidR="00274259" w:rsidRDefault="00274259">
      <w:pPr>
        <w:rPr>
          <w:rFonts w:ascii="Times New Roman" w:hAnsi="Times New Roman"/>
          <w:color w:val="000000" w:themeColor="text1"/>
          <w:sz w:val="28"/>
          <w:szCs w:val="28"/>
          <w:lang w:val="uk-UA"/>
        </w:rPr>
      </w:pPr>
    </w:p>
    <w:p w14:paraId="54177E4E" w14:textId="77777777" w:rsidR="00274259" w:rsidRDefault="00CD3C08">
      <w:pPr>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Директор Юридичного департаменту                                                                                           Наталія МАРТИНИШИН</w:t>
      </w:r>
    </w:p>
    <w:sectPr w:rsidR="00274259" w:rsidSect="00E36349">
      <w:headerReference w:type="default" r:id="rId12"/>
      <w:footerReference w:type="default" r:id="rId13"/>
      <w:headerReference w:type="first" r:id="rId14"/>
      <w:footerReference w:type="first" r:id="rId15"/>
      <w:pgSz w:w="16834" w:h="11909" w:orient="landscape"/>
      <w:pgMar w:top="1417" w:right="1077" w:bottom="850" w:left="1077" w:header="720" w:footer="720" w:gutter="0"/>
      <w:pgNumType w:start="1" w:chapSep="period"/>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EB3A4" w14:textId="77777777" w:rsidR="00CD3C08" w:rsidRDefault="00CD3C08">
      <w:pPr>
        <w:spacing w:line="240" w:lineRule="auto"/>
      </w:pPr>
    </w:p>
  </w:endnote>
  <w:endnote w:type="continuationSeparator" w:id="0">
    <w:p w14:paraId="295E4A4C" w14:textId="77777777" w:rsidR="00CD3C08" w:rsidRDefault="00CD3C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866E6EEC-F513-475F-85CD-F90066032071}"/>
  </w:font>
  <w:font w:name="Cambria">
    <w:panose1 w:val="02040503050406030204"/>
    <w:charset w:val="CC"/>
    <w:family w:val="roman"/>
    <w:pitch w:val="variable"/>
    <w:sig w:usb0="E00006FF" w:usb1="420024FF" w:usb2="02000000" w:usb3="00000000" w:csb0="0000019F" w:csb1="00000000"/>
    <w:embedRegular r:id="rId2" w:fontKey="{11D01B4B-3957-4B5E-AB5F-FEA889F33F2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D4BAE" w14:textId="77777777" w:rsidR="00274259" w:rsidRDefault="00274259"/>
  <w:p w14:paraId="470D224F" w14:textId="77777777" w:rsidR="00274259" w:rsidRDefault="00274259"/>
  <w:p w14:paraId="5DEA1135" w14:textId="77777777" w:rsidR="00274259" w:rsidRDefault="0027425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50EF2" w14:textId="77777777" w:rsidR="00274259" w:rsidRDefault="00274259"/>
  <w:p w14:paraId="6AAB2537" w14:textId="77777777" w:rsidR="00274259" w:rsidRDefault="00274259"/>
  <w:p w14:paraId="42BF9DE0" w14:textId="77777777" w:rsidR="00274259" w:rsidRDefault="0027425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A625F" w14:textId="77777777" w:rsidR="00CD3C08" w:rsidRDefault="00CD3C08">
      <w:pPr>
        <w:spacing w:line="240" w:lineRule="auto"/>
      </w:pPr>
    </w:p>
  </w:footnote>
  <w:footnote w:type="continuationSeparator" w:id="0">
    <w:p w14:paraId="3E5F5A5C" w14:textId="77777777" w:rsidR="00CD3C08" w:rsidRDefault="00CD3C08">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6591183"/>
      <w:docPartObj>
        <w:docPartGallery w:val="Page Numbers (Top of Page)"/>
        <w:docPartUnique/>
      </w:docPartObj>
    </w:sdtPr>
    <w:sdtEndPr/>
    <w:sdtContent>
      <w:p w14:paraId="3E397063" w14:textId="32426BF8" w:rsidR="00E36349" w:rsidRDefault="00E36349">
        <w:pPr>
          <w:pStyle w:val="a5"/>
          <w:jc w:val="center"/>
        </w:pPr>
        <w:r>
          <w:fldChar w:fldCharType="begin"/>
        </w:r>
        <w:r>
          <w:instrText>PAGE   \* MERGEFORMAT</w:instrText>
        </w:r>
        <w:r>
          <w:fldChar w:fldCharType="separate"/>
        </w:r>
        <w:r w:rsidR="009B4F3B" w:rsidRPr="009B4F3B">
          <w:rPr>
            <w:noProof/>
            <w:lang w:val="uk-UA"/>
          </w:rPr>
          <w:t>2</w:t>
        </w:r>
        <w:r>
          <w:fldChar w:fldCharType="end"/>
        </w:r>
      </w:p>
    </w:sdtContent>
  </w:sdt>
  <w:p w14:paraId="328CE7EA" w14:textId="77777777" w:rsidR="00274259" w:rsidRDefault="00274259">
    <w:pPr>
      <w:jc w:val="right"/>
      <w:rPr>
        <w:rFonts w:ascii="Times New Roman" w:hAnsi="Times New Roman"/>
        <w:b/>
        <w:bCs/>
        <w:color w:val="FF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454D4" w14:textId="6A23C822" w:rsidR="00E36349" w:rsidRDefault="00E36349" w:rsidP="00E36349">
    <w:pPr>
      <w:pStyle w:val="a5"/>
    </w:pPr>
  </w:p>
  <w:p w14:paraId="41CF857F" w14:textId="77777777" w:rsidR="00274259" w:rsidRDefault="0027425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735A8"/>
    <w:multiLevelType w:val="multilevel"/>
    <w:tmpl w:val="FEBAEF78"/>
    <w:lvl w:ilvl="0">
      <w:start w:val="1"/>
      <w:numFmt w:val="decimal"/>
      <w:lvlText w:val="%1."/>
      <w:lvlJc w:val="left"/>
      <w:pPr>
        <w:ind w:left="720" w:hanging="360"/>
      </w:pPr>
      <w:rPr>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259"/>
    <w:rsid w:val="00274259"/>
    <w:rsid w:val="009B4F3B"/>
    <w:rsid w:val="00CD3C08"/>
    <w:rsid w:val="00E3488A"/>
    <w:rsid w:val="00E363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E6D5"/>
  <w15:docId w15:val="{BFFA08AF-97D9-4C7F-AE72-EA53F870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pPr>
      <w:tabs>
        <w:tab w:val="center" w:pos="4819"/>
        <w:tab w:val="right" w:pos="9639"/>
      </w:tabs>
      <w:spacing w:line="240" w:lineRule="auto"/>
    </w:pPr>
  </w:style>
  <w:style w:type="paragraph" w:styleId="a7">
    <w:name w:val="footer"/>
    <w:basedOn w:val="a"/>
    <w:link w:val="a8"/>
    <w:pPr>
      <w:tabs>
        <w:tab w:val="center" w:pos="4819"/>
        <w:tab w:val="right" w:pos="9639"/>
      </w:tabs>
      <w:spacing w:line="240" w:lineRule="auto"/>
    </w:pPr>
  </w:style>
  <w:style w:type="paragraph" w:styleId="a9">
    <w:name w:val="Normal (Web)"/>
    <w:basedOn w:val="a"/>
    <w:pPr>
      <w:spacing w:before="100" w:beforeAutospacing="1" w:after="100" w:afterAutospacing="1" w:line="240" w:lineRule="auto"/>
    </w:pPr>
    <w:rPr>
      <w:rFonts w:ascii="Times New Roman" w:hAnsi="Times New Roman"/>
      <w:sz w:val="24"/>
      <w:szCs w:val="24"/>
      <w:lang w:val="uk-UA"/>
    </w:rPr>
  </w:style>
  <w:style w:type="paragraph" w:styleId="aa">
    <w:name w:val="footnote text"/>
    <w:link w:val="ab"/>
    <w:semiHidden/>
    <w:pPr>
      <w:spacing w:line="240" w:lineRule="auto"/>
    </w:pPr>
    <w:rPr>
      <w:sz w:val="20"/>
      <w:szCs w:val="20"/>
    </w:rPr>
  </w:style>
  <w:style w:type="paragraph" w:styleId="ac">
    <w:name w:val="endnote text"/>
    <w:link w:val="ad"/>
    <w:semiHidden/>
    <w:pPr>
      <w:spacing w:line="240" w:lineRule="auto"/>
    </w:pPr>
    <w:rPr>
      <w:sz w:val="20"/>
      <w:szCs w:val="20"/>
    </w:rPr>
  </w:style>
  <w:style w:type="character" w:styleId="ae">
    <w:name w:val="line number"/>
    <w:basedOn w:val="a0"/>
    <w:semiHidden/>
  </w:style>
  <w:style w:type="character" w:styleId="af">
    <w:name w:val="Hyperlink"/>
    <w:rPr>
      <w:color w:val="0000FF"/>
      <w:u w:val="single"/>
    </w:rPr>
  </w:style>
  <w:style w:type="character" w:customStyle="1" w:styleId="a6">
    <w:name w:val="Верхній колонтитул Знак"/>
    <w:basedOn w:val="a0"/>
    <w:link w:val="a5"/>
    <w:uiPriority w:val="99"/>
  </w:style>
  <w:style w:type="character" w:customStyle="1" w:styleId="a8">
    <w:name w:val="Нижній колонтитул Знак"/>
    <w:basedOn w:val="a0"/>
    <w:link w:val="a7"/>
  </w:style>
  <w:style w:type="character" w:styleId="af0">
    <w:name w:val="footnote reference"/>
    <w:semiHidden/>
    <w:rPr>
      <w:vertAlign w:val="superscript"/>
    </w:rPr>
  </w:style>
  <w:style w:type="character" w:customStyle="1" w:styleId="ab">
    <w:name w:val="Текст виноски Знак"/>
    <w:link w:val="aa"/>
    <w:semiHidden/>
    <w:rPr>
      <w:sz w:val="20"/>
      <w:szCs w:val="20"/>
    </w:rPr>
  </w:style>
  <w:style w:type="character" w:styleId="af1">
    <w:name w:val="endnote reference"/>
    <w:semiHidden/>
    <w:rPr>
      <w:vertAlign w:val="superscript"/>
    </w:rPr>
  </w:style>
  <w:style w:type="character" w:customStyle="1" w:styleId="ad">
    <w:name w:val="Текст кінцевої виноски Знак"/>
    <w:link w:val="ac"/>
    <w:semiHidden/>
    <w:rPr>
      <w:sz w:val="20"/>
      <w:szCs w:val="20"/>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Normal"/>
    <w:tblPr>
      <w:tblCellMar>
        <w:top w:w="100" w:type="dxa"/>
        <w:left w:w="100" w:type="dxa"/>
        <w:bottom w:w="100" w:type="dxa"/>
        <w:right w:w="100" w:type="dxa"/>
      </w:tblCellMar>
    </w:tblPr>
  </w:style>
  <w:style w:type="table" w:customStyle="1" w:styleId="a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3038-1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038-1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akon.rada.gov.ua/laws/show/3038-17" TargetMode="External"/><Relationship Id="rId4" Type="http://schemas.openxmlformats.org/officeDocument/2006/relationships/settings" Target="settings.xml"/><Relationship Id="rId9" Type="http://schemas.openxmlformats.org/officeDocument/2006/relationships/hyperlink" Target="https://zakon.rada.gov.ua/laws/show/3038-17"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ZZTLs/bcQISj+xlgOtjwhnF9hg==">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11418</Words>
  <Characters>6509</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Кишко Олександра Олександрівна</dc:creator>
  <cp:lastModifiedBy>Говорущенко Ольга Віталіївна</cp:lastModifiedBy>
  <cp:revision>2</cp:revision>
  <dcterms:created xsi:type="dcterms:W3CDTF">2026-08-21T13:27:00Z</dcterms:created>
  <dcterms:modified xsi:type="dcterms:W3CDTF">2026-08-21T13:27:00Z</dcterms:modified>
</cp:coreProperties>
</file>