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12" w:rsidRPr="008161B3" w:rsidRDefault="00587C12" w:rsidP="00587C12">
      <w:pPr>
        <w:pStyle w:val="a7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5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</w:p>
    <w:p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 xml:space="preserve">про готовність до експлуатації самочинно збудованого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об’єкта, на яке визнано право власності за рішенням суду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"/>
        <w:gridCol w:w="435"/>
        <w:gridCol w:w="2145"/>
        <w:gridCol w:w="1196"/>
        <w:gridCol w:w="5670"/>
      </w:tblGrid>
      <w:tr w:rsidR="00587C12" w:rsidRPr="008161B3" w:rsidTr="00587C12">
        <w:trPr>
          <w:trHeight w:val="2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3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)</w:t>
            </w:r>
          </w:p>
        </w:tc>
      </w:tr>
      <w:tr w:rsidR="00587C12" w:rsidRPr="008161B3" w:rsidTr="00587C12">
        <w:trPr>
          <w:trHeight w:val="20"/>
        </w:trPr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50"/>
              <w:jc w:val="both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:rsidR="00587C12" w:rsidRPr="008161B3" w:rsidRDefault="00587C12" w:rsidP="00587C12"/>
    <w:tbl>
      <w:tblPr>
        <w:tblW w:w="9442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2878"/>
        <w:gridCol w:w="6178"/>
      </w:tblGrid>
      <w:tr w:rsidR="00587C12" w:rsidRPr="008161B3" w:rsidTr="00587C12">
        <w:trPr>
          <w:trHeight w:val="20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60"/>
        <w:gridCol w:w="2554"/>
        <w:gridCol w:w="98"/>
        <w:gridCol w:w="6137"/>
        <w:gridCol w:w="36"/>
      </w:tblGrid>
      <w:tr w:rsidR="00587C12" w:rsidRPr="008161B3" w:rsidTr="00587C12">
        <w:trPr>
          <w:trHeight w:val="20"/>
        </w:trPr>
        <w:tc>
          <w:tcPr>
            <w:tcW w:w="94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49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45"/>
        <w:gridCol w:w="6917"/>
      </w:tblGrid>
      <w:tr w:rsidR="00587C12" w:rsidRPr="008161B3" w:rsidTr="00587C12">
        <w:trPr>
          <w:trHeight w:val="420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рішення суду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Форма судового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Рішення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Постанова 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Ухвала 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ухвалення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судової справи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рішення в Єдиному державному реєстрі судових рішень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набрання судовим рішенням законної сили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айменування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Pr="008161B3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20"/>
        <w:gridCol w:w="6913"/>
      </w:tblGrid>
      <w:tr w:rsidR="00587C12" w:rsidRPr="008161B3" w:rsidTr="00587C12">
        <w:trPr>
          <w:trHeight w:val="4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Інформація щодо відповідності місця розташування самочинно збудованого об’єкта вимогам державних будівельних норм 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місцевого органу містобудування та архітектури, що видав документ:</w:t>
            </w:r>
          </w:p>
          <w:p w:rsidR="00587C12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87C12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spacing w:before="120"/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органу згідно з ЄДРПОУ: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реєстраційний номер документа: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  <w:p w:rsidR="00587C12" w:rsidRPr="008161B3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__.__.______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9"/>
        <w:gridCol w:w="6630"/>
        <w:gridCol w:w="163"/>
      </w:tblGrid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Відомості про об’єкт будівництва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 разі нового будівництва — кадастровий номер земельної ділянки та місцезнаходження земельної ділянки, на якій розташовується об’єкт будівництва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Клас наслідків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СС1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(об’єкти класу наслідків СС2/СС3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приймаються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 експлуатацію за актом готовності)</w:t>
            </w:r>
          </w:p>
        </w:tc>
      </w:tr>
      <w:tr w:rsidR="00587C12" w:rsidRPr="008161B3" w:rsidTr="00587C12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587C12" w:rsidRPr="008161B3" w:rsidRDefault="00587C12" w:rsidP="00587C1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587C12" w:rsidRPr="008161B3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58"/>
        <w:gridCol w:w="70"/>
        <w:gridCol w:w="6678"/>
        <w:gridCol w:w="14"/>
      </w:tblGrid>
      <w:tr w:rsidR="00587C12" w:rsidRPr="008161B3" w:rsidTr="00587C12">
        <w:trPr>
          <w:trHeight w:val="2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587C12" w:rsidRPr="008161B3" w:rsidTr="00587C12">
        <w:trPr>
          <w:trHeight w:val="529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tbl>
      <w:tblPr>
        <w:tblW w:w="9506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6748"/>
      </w:tblGrid>
      <w:tr w:rsidR="00587C12" w:rsidRPr="008161B3" w:rsidTr="00587C12">
        <w:trPr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wBefore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технічне обстеження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TO01:_____- _____-_____-_____ </w:t>
            </w:r>
          </w:p>
          <w:p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звітів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виданих після 1 липня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р.)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89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21"/>
        <w:gridCol w:w="2496"/>
        <w:gridCol w:w="15"/>
        <w:gridCol w:w="6537"/>
      </w:tblGrid>
      <w:tr w:rsidR="00587C12" w:rsidRPr="008161B3" w:rsidTr="00587C12">
        <w:trPr>
          <w:trHeight w:val="343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нізація, що здійснювала технічне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обстеження</w:t>
            </w:r>
          </w:p>
        </w:tc>
      </w:tr>
      <w:tr w:rsidR="00587C12" w:rsidRPr="008161B3" w:rsidTr="00587C12">
        <w:trPr>
          <w:trHeight w:val="306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342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364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54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для осіб, які мають відмітку у паспорті про відмову від прийняття реєстраційного номера облікової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"/>
        <w:gridCol w:w="26"/>
        <w:gridCol w:w="461"/>
        <w:gridCol w:w="220"/>
        <w:gridCol w:w="2104"/>
        <w:gridCol w:w="381"/>
        <w:gridCol w:w="15"/>
        <w:gridCol w:w="38"/>
        <w:gridCol w:w="6166"/>
        <w:gridCol w:w="304"/>
      </w:tblGrid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Експерт, що склав звіт з технічного обстеження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ерія____№____________________________________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</w:t>
            </w:r>
            <w:r w:rsidRPr="008161B3">
              <w:rPr>
                <w:sz w:val="28"/>
                <w:szCs w:val="28"/>
                <w:lang w:val="uk-UA"/>
              </w:rPr>
              <w:lastRenderedPageBreak/>
              <w:t xml:space="preserve">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9689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587C12" w:rsidRPr="008161B3" w:rsidTr="00587C12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Pr="00CF7A1F" w:rsidRDefault="00587C12" w:rsidP="00587C12">
      <w:pPr>
        <w:rPr>
          <w:sz w:val="10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8161B3" w:rsidTr="00587C12">
        <w:trPr>
          <w:trHeight w:val="24"/>
        </w:trPr>
        <w:tc>
          <w:tcPr>
            <w:tcW w:w="9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 за результатами технічної інвентаризації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</w:tbl>
    <w:p w:rsidR="00587C12" w:rsidRDefault="00587C12" w:rsidP="00587C12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"/>
        <w:gridCol w:w="2417"/>
        <w:gridCol w:w="1773"/>
        <w:gridCol w:w="2127"/>
        <w:gridCol w:w="3402"/>
      </w:tblGrid>
      <w:tr w:rsidR="00587C12" w:rsidRPr="008161B3" w:rsidTr="00587C12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2F4D0E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Загальна площа об’єкта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</w:t>
            </w:r>
          </w:p>
        </w:tc>
      </w:tr>
      <w:tr w:rsidR="00587C12" w:rsidRPr="008161B3" w:rsidTr="00587C12">
        <w:tc>
          <w:tcPr>
            <w:tcW w:w="244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Відповідно до результатів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технічної інвентаризації </w:t>
            </w:r>
          </w:p>
        </w:tc>
      </w:tr>
      <w:tr w:rsidR="00587C12" w:rsidRPr="008161B3" w:rsidTr="00587C12">
        <w:tc>
          <w:tcPr>
            <w:tcW w:w="244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. метрів)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сміттєпровід 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"/>
        <w:gridCol w:w="435"/>
        <w:gridCol w:w="1973"/>
        <w:gridCol w:w="137"/>
        <w:gridCol w:w="41"/>
        <w:gridCol w:w="234"/>
        <w:gridCol w:w="1485"/>
        <w:gridCol w:w="511"/>
        <w:gridCol w:w="322"/>
        <w:gridCol w:w="2086"/>
        <w:gridCol w:w="64"/>
        <w:gridCol w:w="2203"/>
        <w:gridCol w:w="142"/>
      </w:tblGrid>
      <w:tr w:rsidR="00587C12" w:rsidRPr="008161B3" w:rsidTr="00587C12">
        <w:trPr>
          <w:gridBefore w:val="1"/>
          <w:gridAfter w:val="1"/>
          <w:wBefore w:w="7" w:type="dxa"/>
          <w:wAfter w:w="142" w:type="dxa"/>
          <w:trHeight w:val="420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Відомості про характеристики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інвентаризації)(за наявності)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r>
              <w:rPr>
                <w:rFonts w:ascii="Times New Roman" w:hAnsi="Times New Roman"/>
                <w:sz w:val="28"/>
                <w:szCs w:val="28"/>
              </w:rPr>
              <w:t>поверхів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Житлова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Однокімнатна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left="-100"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Before w:val="1"/>
          <w:wBefore w:w="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87C12" w:rsidRPr="008161B3" w:rsidTr="00587C12">
        <w:trPr>
          <w:gridBefore w:val="1"/>
          <w:wBefore w:w="7" w:type="dxa"/>
          <w:trHeight w:val="480"/>
        </w:trPr>
        <w:tc>
          <w:tcPr>
            <w:tcW w:w="4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87C12" w:rsidRPr="008161B3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Before w:val="1"/>
          <w:wBefore w:w="7" w:type="dxa"/>
          <w:trHeight w:val="480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9D129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8161B3" w:rsidTr="00587C12"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</w:tbl>
    <w:p w:rsidR="00587C12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Вартість основних фондів, що приймаються в експлуатацію,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сплату пайової участі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Сплачено в повному обсязі на підставі: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ата уклад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:rsidR="00587C12" w:rsidRPr="008161B3" w:rsidRDefault="00587C12" w:rsidP="00587C12">
      <w:pPr>
        <w:spacing w:after="60"/>
        <w:jc w:val="center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у визначеному порядку.</w:t>
      </w:r>
    </w:p>
    <w:p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 xml:space="preserve">, пожежної безпеки, </w:t>
      </w:r>
      <w:r w:rsidRPr="008161B3">
        <w:rPr>
          <w:rFonts w:ascii="Times New Roman" w:hAnsi="Times New Roman"/>
          <w:sz w:val="28"/>
          <w:szCs w:val="28"/>
        </w:rPr>
        <w:lastRenderedPageBreak/>
        <w:t>охорони навколишнього природного середовища і антисейсмічні заходи проведені в повному обсязі.</w:t>
      </w:r>
    </w:p>
    <w:p w:rsidR="00587C12" w:rsidRPr="00460961" w:rsidRDefault="00587C12" w:rsidP="00587C12">
      <w:pPr>
        <w:pStyle w:val="a4"/>
        <w:rPr>
          <w:rFonts w:ascii="Times New Roman" w:hAnsi="Times New Roman"/>
          <w:b w:val="0"/>
          <w:sz w:val="28"/>
        </w:rPr>
      </w:pPr>
      <w:r w:rsidRPr="00460961">
        <w:rPr>
          <w:rFonts w:ascii="Times New Roman" w:hAnsi="Times New Roman"/>
          <w:b w:val="0"/>
          <w:sz w:val="28"/>
        </w:rPr>
        <w:t xml:space="preserve">ВВАЖАТИ ЗАКІНЧЕНИЙ БУДІВНИЦТВОМ  </w:t>
      </w:r>
      <w:r w:rsidRPr="00460961">
        <w:rPr>
          <w:rFonts w:ascii="Times New Roman" w:hAnsi="Times New Roman"/>
          <w:b w:val="0"/>
          <w:sz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(підпис,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:rsidR="00587C12" w:rsidRPr="008161B3" w:rsidRDefault="00587C12" w:rsidP="00587C12">
      <w:pPr>
        <w:spacing w:after="160" w:line="256" w:lineRule="auto"/>
        <w:rPr>
          <w:rFonts w:ascii="Times New Roman" w:eastAsia="Helvetica Neue" w:hAnsi="Times New Roman"/>
          <w:sz w:val="28"/>
          <w:szCs w:val="28"/>
          <w:lang w:eastAsia="en-US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Pr="0079694F" w:rsidRDefault="0079694F" w:rsidP="0079694F">
      <w:pPr>
        <w:shd w:val="clear" w:color="auto" w:fill="FFFFFF"/>
        <w:spacing w:before="120"/>
        <w:jc w:val="both"/>
        <w:rPr>
          <w:rFonts w:ascii="Times New Roman" w:hAnsi="Times New Roman"/>
          <w:sz w:val="22"/>
          <w:szCs w:val="28"/>
          <w:shd w:val="clear" w:color="auto" w:fill="FFFFFF"/>
        </w:rPr>
      </w:pPr>
      <w:r w:rsidRPr="0079694F">
        <w:rPr>
          <w:rStyle w:val="st46"/>
          <w:rFonts w:ascii="Times New Roman" w:hAnsi="Times New Roman"/>
          <w:color w:val="auto"/>
          <w:sz w:val="24"/>
        </w:rPr>
        <w:t xml:space="preserve">{Додаток 5 в редакції Постанови КМ </w:t>
      </w:r>
      <w:r w:rsidRPr="0079694F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79694F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79694F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79694F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79694F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79694F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79694F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79694F">
        <w:rPr>
          <w:rStyle w:val="st46"/>
          <w:rFonts w:ascii="Times New Roman" w:hAnsi="Times New Roman"/>
          <w:color w:val="auto"/>
          <w:sz w:val="24"/>
        </w:rPr>
        <w:t>}</w:t>
      </w:r>
    </w:p>
    <w:sectPr w:rsidR="00833ABE" w:rsidRPr="007969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2"/>
    <w:rsid w:val="00156FB6"/>
    <w:rsid w:val="00240265"/>
    <w:rsid w:val="00244BFE"/>
    <w:rsid w:val="00334F5E"/>
    <w:rsid w:val="00587C12"/>
    <w:rsid w:val="006F57B1"/>
    <w:rsid w:val="0079694F"/>
    <w:rsid w:val="00833ABE"/>
    <w:rsid w:val="00870BD8"/>
    <w:rsid w:val="00935D8B"/>
    <w:rsid w:val="00B07BF6"/>
    <w:rsid w:val="00C1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і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і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33ABE"/>
    <w:rPr>
      <w:i/>
      <w:iCs/>
      <w:color w:val="0000FF"/>
    </w:rPr>
  </w:style>
  <w:style w:type="character" w:customStyle="1" w:styleId="st46">
    <w:name w:val="st46"/>
    <w:uiPriority w:val="99"/>
    <w:rsid w:val="00833A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11836</Words>
  <Characters>6747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Альона Полякова</cp:lastModifiedBy>
  <cp:revision>2</cp:revision>
  <dcterms:created xsi:type="dcterms:W3CDTF">2025-07-22T19:30:00Z</dcterms:created>
  <dcterms:modified xsi:type="dcterms:W3CDTF">2025-07-22T19:30:00Z</dcterms:modified>
</cp:coreProperties>
</file>